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4621" w:rsidRDefault="00000000">
      <w:pPr>
        <w:spacing w:line="620" w:lineRule="exact"/>
        <w:ind w:firstLineChars="0" w:firstLine="0"/>
        <w:jc w:val="center"/>
        <w:rPr>
          <w:rFonts w:ascii="黑体" w:eastAsia="黑体" w:hAnsi="黑体" w:cs="黑体" w:hint="eastAsia"/>
          <w:sz w:val="40"/>
          <w:szCs w:val="40"/>
        </w:rPr>
      </w:pPr>
      <w:r>
        <w:rPr>
          <w:rFonts w:ascii="黑体" w:eastAsia="黑体" w:hAnsi="黑体" w:cs="黑体" w:hint="eastAsia"/>
          <w:sz w:val="40"/>
          <w:szCs w:val="40"/>
        </w:rPr>
        <w:t>内蒙古经贸学校2023年度</w:t>
      </w:r>
    </w:p>
    <w:p w:rsidR="00284621" w:rsidRDefault="00000000">
      <w:pPr>
        <w:spacing w:line="620" w:lineRule="exact"/>
        <w:ind w:firstLineChars="0" w:firstLine="0"/>
        <w:jc w:val="center"/>
        <w:rPr>
          <w:rFonts w:ascii="黑体" w:eastAsia="黑体" w:hAnsi="黑体" w:cs="黑体" w:hint="eastAsia"/>
          <w:sz w:val="40"/>
          <w:szCs w:val="40"/>
        </w:rPr>
      </w:pPr>
      <w:r>
        <w:rPr>
          <w:rFonts w:ascii="黑体" w:eastAsia="黑体" w:hAnsi="黑体" w:cs="黑体" w:hint="eastAsia"/>
          <w:sz w:val="40"/>
          <w:szCs w:val="40"/>
        </w:rPr>
        <w:t>中央中职学生资助项目支出绩效评价报告</w:t>
      </w:r>
    </w:p>
    <w:p w:rsidR="00284621" w:rsidRDefault="00284621">
      <w:pPr>
        <w:spacing w:line="240" w:lineRule="auto"/>
        <w:ind w:firstLineChars="0" w:firstLine="0"/>
        <w:jc w:val="right"/>
        <w:rPr>
          <w:rFonts w:hint="eastAsia"/>
          <w:b/>
          <w:bCs/>
          <w:color w:val="000000"/>
          <w:szCs w:val="28"/>
        </w:rPr>
      </w:pPr>
    </w:p>
    <w:p w:rsidR="00284621" w:rsidRDefault="00000000">
      <w:pPr>
        <w:spacing w:line="240" w:lineRule="auto"/>
        <w:ind w:firstLineChars="0" w:firstLine="0"/>
        <w:jc w:val="right"/>
        <w:rPr>
          <w:rFonts w:hint="eastAsia"/>
          <w:b/>
          <w:bCs/>
          <w:color w:val="000000"/>
          <w:szCs w:val="28"/>
        </w:rPr>
      </w:pPr>
      <w:r>
        <w:rPr>
          <w:rFonts w:hint="eastAsia"/>
          <w:b/>
          <w:bCs/>
          <w:color w:val="000000"/>
          <w:szCs w:val="28"/>
        </w:rPr>
        <w:t>内经达绩效评字【2024】第003号</w:t>
      </w:r>
    </w:p>
    <w:p w:rsidR="00284621" w:rsidRDefault="00284621">
      <w:pPr>
        <w:pStyle w:val="a0"/>
        <w:ind w:firstLine="480"/>
        <w:rPr>
          <w:rFonts w:hint="eastAsia"/>
        </w:rPr>
      </w:pPr>
    </w:p>
    <w:p w:rsidR="00284621" w:rsidRDefault="00000000">
      <w:pPr>
        <w:spacing w:line="240" w:lineRule="auto"/>
        <w:ind w:firstLine="640"/>
        <w:jc w:val="left"/>
        <w:rPr>
          <w:rFonts w:ascii="黑体" w:eastAsia="黑体" w:hAnsi="黑体" w:cs="黑体" w:hint="eastAsia"/>
          <w:bCs/>
          <w:sz w:val="32"/>
          <w:szCs w:val="32"/>
        </w:rPr>
      </w:pPr>
      <w:r>
        <w:rPr>
          <w:rFonts w:ascii="黑体" w:eastAsia="黑体" w:hAnsi="黑体" w:cs="黑体" w:hint="eastAsia"/>
          <w:bCs/>
          <w:sz w:val="32"/>
          <w:szCs w:val="32"/>
        </w:rPr>
        <w:t>一、基本情况</w:t>
      </w:r>
    </w:p>
    <w:p w:rsidR="00284621" w:rsidRDefault="00000000">
      <w:pPr>
        <w:spacing w:line="240" w:lineRule="auto"/>
        <w:ind w:firstLine="640"/>
        <w:outlineLvl w:val="1"/>
        <w:rPr>
          <w:rFonts w:ascii="楷体" w:eastAsia="楷体" w:hAnsi="楷体" w:cs="楷体" w:hint="eastAsia"/>
          <w:sz w:val="32"/>
          <w:szCs w:val="32"/>
        </w:rPr>
      </w:pPr>
      <w:bookmarkStart w:id="0" w:name="_Toc19405"/>
      <w:bookmarkStart w:id="1" w:name="_Toc21295"/>
      <w:bookmarkStart w:id="2" w:name="_Toc15751"/>
      <w:bookmarkStart w:id="3" w:name="_Toc30746"/>
      <w:bookmarkStart w:id="4" w:name="_Toc23906"/>
      <w:bookmarkStart w:id="5" w:name="_Toc18402"/>
      <w:bookmarkStart w:id="6" w:name="_Toc24359"/>
      <w:r>
        <w:rPr>
          <w:rFonts w:ascii="楷体" w:eastAsia="楷体" w:hAnsi="楷体" w:cs="楷体" w:hint="eastAsia"/>
          <w:sz w:val="32"/>
          <w:szCs w:val="32"/>
        </w:rPr>
        <w:t>（一）</w:t>
      </w:r>
      <w:bookmarkEnd w:id="0"/>
      <w:bookmarkEnd w:id="1"/>
      <w:bookmarkEnd w:id="2"/>
      <w:bookmarkEnd w:id="3"/>
      <w:bookmarkEnd w:id="4"/>
      <w:bookmarkEnd w:id="5"/>
      <w:bookmarkEnd w:id="6"/>
      <w:r>
        <w:rPr>
          <w:rFonts w:ascii="楷体" w:eastAsia="楷体" w:hAnsi="楷体" w:cs="楷体" w:hint="eastAsia"/>
          <w:sz w:val="32"/>
          <w:szCs w:val="32"/>
        </w:rPr>
        <w:t>项目概况</w:t>
      </w:r>
    </w:p>
    <w:p w:rsidR="00284621" w:rsidRDefault="00000000">
      <w:pPr>
        <w:topLinePunct/>
        <w:spacing w:line="240" w:lineRule="auto"/>
        <w:ind w:firstLineChars="0"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为进一步推动中等职业学校学生资助政策规范有序实施，不断提升资助精准化水平，深入推进资助育人工作，在总结地方实践经验基础上，实施“中央中职学生资助”项目。</w:t>
      </w:r>
    </w:p>
    <w:p w:rsidR="00284621" w:rsidRDefault="00000000">
      <w:pPr>
        <w:topLinePunct/>
        <w:spacing w:line="240" w:lineRule="auto"/>
        <w:ind w:firstLineChars="0"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内蒙古经贸学校为中央中职学生资助项目的实施主体，制定落实国家和地方政府资助政策的实施细则，组织开展家庭经济困难学生认定工作，组织开展中职国家奖学金、国家助学金、免学费书费等资助项目工作，及时足额发放国家奖学金和国家助学金。</w:t>
      </w:r>
    </w:p>
    <w:p w:rsidR="00284621" w:rsidRDefault="00000000">
      <w:pPr>
        <w:topLinePunct/>
        <w:spacing w:line="240" w:lineRule="auto"/>
        <w:ind w:firstLineChars="0"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按照国家相关政策规定，中等职业学校学生每人每年享受免学费资助资金2000元，国家奖学金，按照当地教育部门评审核定人数，每人6000元/年标准，专项资金按相关规定列支项目。</w:t>
      </w:r>
    </w:p>
    <w:p w:rsidR="00284621" w:rsidRDefault="00000000">
      <w:pPr>
        <w:topLinePunct/>
        <w:spacing w:line="240" w:lineRule="auto"/>
        <w:ind w:firstLineChars="0"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该项目2023年初预算19.88万元（</w:t>
      </w:r>
      <w:r>
        <w:rPr>
          <w:rFonts w:ascii="仿宋" w:eastAsia="仿宋" w:hAnsi="仿宋" w:cs="仿宋" w:hint="eastAsia"/>
          <w:spacing w:val="4"/>
          <w:sz w:val="30"/>
        </w:rPr>
        <w:t>上年结转资金）</w:t>
      </w:r>
      <w:r>
        <w:rPr>
          <w:rFonts w:ascii="仿宋_GB2312" w:eastAsia="仿宋_GB2312" w:hAnsi="仿宋_GB2312" w:cs="仿宋_GB2312" w:hint="eastAsia"/>
          <w:spacing w:val="-3"/>
          <w:w w:val="99"/>
          <w:sz w:val="32"/>
          <w:szCs w:val="32"/>
        </w:rPr>
        <w:t>，均为财政资金，</w:t>
      </w:r>
      <w:r>
        <w:rPr>
          <w:rFonts w:ascii="仿宋_GB2312" w:eastAsia="仿宋_GB2312" w:hAnsi="仿宋_GB2312" w:cs="仿宋_GB2312"/>
          <w:spacing w:val="-3"/>
          <w:w w:val="99"/>
          <w:sz w:val="32"/>
          <w:szCs w:val="32"/>
        </w:rPr>
        <w:t>预算执行</w:t>
      </w:r>
      <w:r>
        <w:rPr>
          <w:rFonts w:ascii="仿宋_GB2312" w:eastAsia="仿宋_GB2312" w:hAnsi="仿宋_GB2312" w:cs="仿宋_GB2312" w:hint="eastAsia"/>
          <w:spacing w:val="-3"/>
          <w:w w:val="99"/>
          <w:sz w:val="32"/>
          <w:szCs w:val="32"/>
        </w:rPr>
        <w:t>19.88</w:t>
      </w:r>
      <w:r>
        <w:rPr>
          <w:rFonts w:ascii="仿宋_GB2312" w:eastAsia="仿宋_GB2312" w:hAnsi="仿宋_GB2312" w:cs="仿宋_GB2312"/>
          <w:spacing w:val="-3"/>
          <w:w w:val="99"/>
          <w:sz w:val="32"/>
          <w:szCs w:val="32"/>
        </w:rPr>
        <w:t>万元</w:t>
      </w:r>
      <w:r>
        <w:rPr>
          <w:rFonts w:ascii="仿宋_GB2312" w:eastAsia="仿宋_GB2312" w:hAnsi="仿宋_GB2312" w:cs="仿宋_GB2312" w:hint="eastAsia"/>
          <w:spacing w:val="-3"/>
          <w:w w:val="99"/>
          <w:sz w:val="32"/>
          <w:szCs w:val="32"/>
        </w:rPr>
        <w:t>。</w:t>
      </w:r>
    </w:p>
    <w:p w:rsidR="00284621" w:rsidRDefault="00000000">
      <w:pPr>
        <w:pStyle w:val="a4"/>
        <w:numPr>
          <w:ilvl w:val="0"/>
          <w:numId w:val="1"/>
        </w:numPr>
        <w:autoSpaceDE w:val="0"/>
        <w:autoSpaceDN w:val="0"/>
        <w:spacing w:line="240" w:lineRule="auto"/>
        <w:ind w:firstLine="618"/>
        <w:jc w:val="both"/>
        <w:outlineLvl w:val="1"/>
        <w:rPr>
          <w:rFonts w:ascii="楷体" w:eastAsia="楷体" w:hAnsi="楷体" w:cs="楷体" w:hint="eastAsia"/>
          <w:b w:val="0"/>
          <w:bCs w:val="0"/>
          <w:spacing w:val="-3"/>
          <w:w w:val="99"/>
          <w:sz w:val="32"/>
          <w:szCs w:val="32"/>
        </w:rPr>
      </w:pPr>
      <w:r>
        <w:rPr>
          <w:rFonts w:ascii="楷体" w:eastAsia="楷体" w:hAnsi="楷体" w:cs="楷体" w:hint="eastAsia"/>
          <w:b w:val="0"/>
          <w:bCs w:val="0"/>
          <w:spacing w:val="-3"/>
          <w:w w:val="99"/>
          <w:sz w:val="32"/>
          <w:szCs w:val="32"/>
        </w:rPr>
        <w:t>项目绩效目标</w:t>
      </w:r>
    </w:p>
    <w:p w:rsidR="00284621" w:rsidRDefault="00000000">
      <w:pPr>
        <w:numPr>
          <w:ilvl w:val="0"/>
          <w:numId w:val="2"/>
        </w:numPr>
        <w:topLinePunct/>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中等职业教育各项国家和自治区资助政策按照规定得</w:t>
      </w:r>
      <w:r>
        <w:rPr>
          <w:rFonts w:ascii="仿宋_GB2312" w:eastAsia="仿宋_GB2312" w:hAnsi="仿宋_GB2312" w:cs="仿宋_GB2312" w:hint="eastAsia"/>
          <w:spacing w:val="-3"/>
          <w:w w:val="99"/>
          <w:sz w:val="32"/>
          <w:szCs w:val="32"/>
        </w:rPr>
        <w:lastRenderedPageBreak/>
        <w:t xml:space="preserve">到落实； </w:t>
      </w:r>
    </w:p>
    <w:p w:rsidR="00284621" w:rsidRDefault="00000000">
      <w:pPr>
        <w:numPr>
          <w:ilvl w:val="0"/>
          <w:numId w:val="2"/>
        </w:numPr>
        <w:topLinePunct/>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满足家庭经济困难学生基本学习生活需要；</w:t>
      </w:r>
    </w:p>
    <w:p w:rsidR="00284621" w:rsidRDefault="00000000">
      <w:pPr>
        <w:numPr>
          <w:ilvl w:val="0"/>
          <w:numId w:val="2"/>
        </w:numPr>
        <w:topLinePunct/>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提升中职教育吸引力。</w:t>
      </w:r>
    </w:p>
    <w:p w:rsidR="00284621" w:rsidRDefault="00000000">
      <w:pPr>
        <w:topLinePunct/>
        <w:ind w:firstLine="618"/>
        <w:rPr>
          <w:rFonts w:ascii="黑体" w:eastAsia="黑体" w:hAnsi="黑体" w:cs="黑体" w:hint="eastAsia"/>
          <w:sz w:val="32"/>
          <w:szCs w:val="32"/>
        </w:rPr>
      </w:pPr>
      <w:bookmarkStart w:id="7" w:name="_Toc9276"/>
      <w:bookmarkStart w:id="8" w:name="_Toc28561"/>
      <w:bookmarkStart w:id="9" w:name="_Toc9719"/>
      <w:bookmarkStart w:id="10" w:name="_Toc29639"/>
      <w:bookmarkStart w:id="11" w:name="_Toc19774"/>
      <w:bookmarkStart w:id="12" w:name="_Toc17149"/>
      <w:bookmarkStart w:id="13" w:name="_Toc24266"/>
      <w:r>
        <w:rPr>
          <w:rFonts w:ascii="仿宋_GB2312" w:eastAsia="仿宋_GB2312" w:hAnsi="仿宋_GB2312" w:cs="仿宋_GB2312" w:hint="eastAsia"/>
          <w:spacing w:val="-3"/>
          <w:w w:val="99"/>
          <w:sz w:val="32"/>
          <w:szCs w:val="32"/>
        </w:rPr>
        <w:tab/>
      </w:r>
      <w:r>
        <w:rPr>
          <w:rFonts w:ascii="黑体" w:eastAsia="黑体" w:hAnsi="黑体" w:cs="黑体" w:hint="eastAsia"/>
          <w:sz w:val="32"/>
          <w:szCs w:val="32"/>
        </w:rPr>
        <w:t>二、绩效评价工作开展情况</w:t>
      </w:r>
    </w:p>
    <w:p w:rsidR="00284621" w:rsidRDefault="00000000">
      <w:pPr>
        <w:ind w:firstLine="640"/>
        <w:outlineLvl w:val="1"/>
        <w:rPr>
          <w:rFonts w:ascii="楷体" w:eastAsia="楷体" w:hAnsi="楷体" w:cs="楷体" w:hint="eastAsia"/>
          <w:sz w:val="32"/>
          <w:szCs w:val="32"/>
        </w:rPr>
      </w:pPr>
      <w:bookmarkStart w:id="14" w:name="_Toc3657"/>
      <w:bookmarkStart w:id="15" w:name="_Toc21378"/>
      <w:bookmarkStart w:id="16" w:name="_Toc7697"/>
      <w:bookmarkStart w:id="17" w:name="_Toc9268"/>
      <w:bookmarkStart w:id="18" w:name="_Toc26751"/>
      <w:r>
        <w:rPr>
          <w:rFonts w:ascii="楷体" w:eastAsia="楷体" w:hAnsi="楷体" w:cs="楷体" w:hint="eastAsia"/>
          <w:sz w:val="32"/>
          <w:szCs w:val="32"/>
        </w:rPr>
        <w:t>（一）评价对象、目的</w:t>
      </w:r>
      <w:bookmarkEnd w:id="14"/>
      <w:bookmarkEnd w:id="15"/>
      <w:bookmarkEnd w:id="16"/>
      <w:bookmarkEnd w:id="17"/>
      <w:bookmarkEnd w:id="18"/>
      <w:r>
        <w:rPr>
          <w:rFonts w:ascii="楷体" w:eastAsia="楷体" w:hAnsi="楷体" w:cs="楷体" w:hint="eastAsia"/>
          <w:sz w:val="32"/>
          <w:szCs w:val="32"/>
        </w:rPr>
        <w:t>和范围</w:t>
      </w:r>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根据内蒙古自治区财政厅关于开展</w:t>
      </w:r>
      <w:r>
        <w:rPr>
          <w:rFonts w:ascii="仿宋_GB2312" w:eastAsia="仿宋_GB2312" w:hAnsi="仿宋_GB2312" w:cs="仿宋_GB2312" w:hint="eastAsia"/>
          <w:color w:val="000000"/>
          <w:sz w:val="32"/>
          <w:szCs w:val="32"/>
        </w:rPr>
        <w:t>《内蒙古自治区财政厅关于开展202</w:t>
      </w:r>
      <w:r>
        <w:rPr>
          <w:rFonts w:ascii="仿宋_GB2312" w:eastAsia="仿宋_GB2312" w:hAnsi="仿宋_GB2312" w:cs="仿宋_GB2312"/>
          <w:color w:val="000000"/>
          <w:sz w:val="32"/>
          <w:szCs w:val="32"/>
          <w:lang w:val="en"/>
        </w:rPr>
        <w:t>3</w:t>
      </w:r>
      <w:r>
        <w:rPr>
          <w:rFonts w:ascii="仿宋_GB2312" w:eastAsia="仿宋_GB2312" w:hAnsi="仿宋_GB2312" w:cs="仿宋_GB2312" w:hint="eastAsia"/>
          <w:color w:val="000000"/>
          <w:sz w:val="32"/>
          <w:szCs w:val="32"/>
        </w:rPr>
        <w:t>年度自治区本级部门（单位）绩效自评和部门评价工作的通知》（内财绩效〔2024〕14号）工作部署，</w:t>
      </w:r>
      <w:r>
        <w:rPr>
          <w:rFonts w:ascii="仿宋_GB2312" w:eastAsia="仿宋_GB2312" w:hAnsi="仿宋_GB2312" w:cs="仿宋_GB2312" w:hint="eastAsia"/>
          <w:sz w:val="32"/>
          <w:szCs w:val="32"/>
        </w:rPr>
        <w:t>为深入贯彻落实《内蒙古自治区关于全面实施预算绩效管理的实施意见》和《内蒙古自治区项目支出绩效评价管理办法》的有关要求，强化自治区本级部门（单位）的预算绩效管理主体责任，提高财政资源使用效益，开展2023年度中央中职学生资助项目支出绩效评价。</w:t>
      </w:r>
    </w:p>
    <w:p w:rsidR="00284621" w:rsidRDefault="00000000">
      <w:pPr>
        <w:ind w:firstLine="640"/>
        <w:outlineLvl w:val="1"/>
        <w:rPr>
          <w:rFonts w:ascii="楷体" w:eastAsia="楷体" w:hAnsi="楷体" w:cs="楷体" w:hint="eastAsia"/>
          <w:sz w:val="32"/>
          <w:szCs w:val="32"/>
        </w:rPr>
      </w:pPr>
      <w:bookmarkStart w:id="19" w:name="_Toc19659"/>
      <w:bookmarkStart w:id="20" w:name="_Toc19327"/>
      <w:bookmarkStart w:id="21" w:name="_Toc18490"/>
      <w:bookmarkStart w:id="22" w:name="_Toc5893"/>
      <w:bookmarkStart w:id="23" w:name="_Toc3023"/>
      <w:bookmarkStart w:id="24" w:name="_Toc7262"/>
      <w:bookmarkStart w:id="25" w:name="_Toc6096"/>
      <w:r>
        <w:rPr>
          <w:rFonts w:ascii="楷体" w:eastAsia="楷体" w:hAnsi="楷体" w:cs="楷体" w:hint="eastAsia"/>
          <w:sz w:val="32"/>
          <w:szCs w:val="32"/>
        </w:rPr>
        <w:t>（二）</w:t>
      </w:r>
      <w:bookmarkStart w:id="26" w:name="_Toc26039"/>
      <w:bookmarkStart w:id="27" w:name="_Toc27888"/>
      <w:bookmarkStart w:id="28" w:name="_Toc11102"/>
      <w:bookmarkStart w:id="29" w:name="_Toc16129"/>
      <w:bookmarkStart w:id="30" w:name="_Toc6547"/>
      <w:bookmarkStart w:id="31" w:name="_Toc12848"/>
      <w:bookmarkStart w:id="32" w:name="_Toc21558"/>
      <w:bookmarkStart w:id="33" w:name="_Toc9415"/>
      <w:bookmarkStart w:id="34" w:name="_Toc2101"/>
      <w:bookmarkStart w:id="35" w:name="_Toc13133"/>
      <w:bookmarkStart w:id="36" w:name="_Toc13828"/>
      <w:bookmarkStart w:id="37" w:name="_Toc2181"/>
      <w:bookmarkStart w:id="38" w:name="_Toc3768"/>
      <w:bookmarkStart w:id="39" w:name="_Toc2498"/>
      <w:bookmarkStart w:id="40" w:name="_Toc32228"/>
      <w:bookmarkEnd w:id="19"/>
      <w:bookmarkEnd w:id="20"/>
      <w:bookmarkEnd w:id="21"/>
      <w:bookmarkEnd w:id="22"/>
      <w:bookmarkEnd w:id="23"/>
      <w:bookmarkEnd w:id="24"/>
      <w:bookmarkEnd w:id="25"/>
      <w:r>
        <w:rPr>
          <w:rFonts w:ascii="楷体" w:eastAsia="楷体" w:hAnsi="楷体" w:cs="楷体" w:hint="eastAsia"/>
          <w:sz w:val="32"/>
          <w:szCs w:val="32"/>
        </w:rPr>
        <w:t>绩效评价原则、项目绩效评价体系、评价方法和评定标准</w:t>
      </w:r>
      <w:bookmarkEnd w:id="26"/>
      <w:bookmarkEnd w:id="27"/>
      <w:bookmarkEnd w:id="28"/>
      <w:bookmarkEnd w:id="29"/>
      <w:bookmarkEnd w:id="30"/>
      <w:bookmarkEnd w:id="31"/>
      <w:bookmarkEnd w:id="32"/>
      <w:bookmarkEnd w:id="33"/>
    </w:p>
    <w:p w:rsidR="00284621" w:rsidRDefault="00000000">
      <w:pPr>
        <w:ind w:firstLine="640"/>
        <w:outlineLvl w:val="2"/>
        <w:rPr>
          <w:rFonts w:ascii="仿宋_GB2312" w:eastAsia="仿宋_GB2312" w:hAnsi="仿宋_GB2312" w:cs="仿宋_GB2312" w:hint="eastAsia"/>
          <w:sz w:val="32"/>
          <w:szCs w:val="32"/>
        </w:rPr>
      </w:pPr>
      <w:bookmarkStart w:id="41" w:name="_Toc15192"/>
      <w:bookmarkStart w:id="42" w:name="_Toc11127"/>
      <w:bookmarkStart w:id="43" w:name="_Toc11292"/>
      <w:bookmarkStart w:id="44" w:name="_Toc21704"/>
      <w:bookmarkStart w:id="45" w:name="_Toc6670"/>
      <w:bookmarkStart w:id="46" w:name="_Toc16989"/>
      <w:bookmarkStart w:id="47" w:name="_Toc5740"/>
      <w:r>
        <w:rPr>
          <w:rFonts w:ascii="仿宋_GB2312" w:eastAsia="仿宋_GB2312" w:hAnsi="仿宋_GB2312" w:cs="仿宋_GB2312" w:hint="eastAsia"/>
          <w:sz w:val="32"/>
          <w:szCs w:val="32"/>
        </w:rPr>
        <w:t>1、绩效评价原则</w:t>
      </w:r>
    </w:p>
    <w:p w:rsidR="00284621" w:rsidRDefault="00000000">
      <w:pPr>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（1）科学公正。绩效评价应当运用科学合理的方法，按照规范的程序，对项目绩效进行客观、公正的反映。 </w:t>
      </w:r>
    </w:p>
    <w:p w:rsidR="00284621" w:rsidRDefault="00000000">
      <w:pPr>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（2）统筹兼顾。单位自评、部门评价和财政评价应职责明确，各有侧重，相互衔接。 </w:t>
      </w:r>
    </w:p>
    <w:p w:rsidR="00284621" w:rsidRDefault="00000000">
      <w:pPr>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（3）激励约束。绩效评价结果应与预算安排、政策调整、改进管理实质性挂钩，体现奖优罚劣和激励相容导向，</w:t>
      </w:r>
      <w:r>
        <w:rPr>
          <w:rFonts w:ascii="仿宋_GB2312" w:eastAsia="仿宋_GB2312" w:hAnsi="仿宋_GB2312" w:cs="仿宋_GB2312" w:hint="eastAsia"/>
          <w:sz w:val="32"/>
          <w:szCs w:val="32"/>
        </w:rPr>
        <w:lastRenderedPageBreak/>
        <w:t>有效要安排、低效要压减、无效要问责。  </w:t>
      </w:r>
    </w:p>
    <w:p w:rsidR="00284621" w:rsidRDefault="00000000">
      <w:pPr>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（4）公开透明。绩效评价结果应依法依规公开，并自觉接受社会监督。 </w:t>
      </w:r>
    </w:p>
    <w:p w:rsidR="00284621" w:rsidRDefault="00000000">
      <w:pPr>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2、项目绩效评价体系</w:t>
      </w:r>
      <w:bookmarkEnd w:id="41"/>
      <w:bookmarkEnd w:id="42"/>
      <w:bookmarkEnd w:id="43"/>
      <w:bookmarkEnd w:id="44"/>
      <w:bookmarkEnd w:id="45"/>
      <w:bookmarkEnd w:id="46"/>
      <w:bookmarkEnd w:id="47"/>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根据绩效评价的基本原理、原则和标准，遵循完整性、可行性、重要性和可比性原则，设置了符合本项目特点的绩效评价体系。</w:t>
      </w:r>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（1）项目决策：占权重分20分，包括项目立项和资金落实；</w:t>
      </w:r>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（2）项目过程：占权重分20分，包括资金管理和组织实施；</w:t>
      </w:r>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（3）项目产出：占权重分30分，包括产出数量、产出质量、产出时效及产出成本。</w:t>
      </w:r>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（4）项目效益：占权重分30分，包括社会效益、可持续影响及服务对象满意度。</w:t>
      </w:r>
    </w:p>
    <w:p w:rsidR="00284621" w:rsidRDefault="00000000">
      <w:pPr>
        <w:ind w:firstLine="640"/>
        <w:outlineLvl w:val="2"/>
        <w:rPr>
          <w:rFonts w:ascii="仿宋_GB2312" w:eastAsia="仿宋_GB2312" w:hAnsi="仿宋_GB2312" w:cs="仿宋_GB2312" w:hint="eastAsia"/>
          <w:sz w:val="32"/>
          <w:szCs w:val="32"/>
        </w:rPr>
      </w:pPr>
      <w:bookmarkStart w:id="48" w:name="_Toc1703"/>
      <w:bookmarkStart w:id="49" w:name="_Toc5304"/>
      <w:bookmarkStart w:id="50" w:name="_Toc10565"/>
      <w:bookmarkStart w:id="51" w:name="_Toc31306"/>
      <w:bookmarkStart w:id="52" w:name="_Toc29997"/>
      <w:bookmarkStart w:id="53" w:name="_Toc12486"/>
      <w:bookmarkStart w:id="54" w:name="_Toc5136"/>
      <w:r>
        <w:rPr>
          <w:rFonts w:ascii="仿宋_GB2312" w:eastAsia="仿宋_GB2312" w:hAnsi="仿宋_GB2312" w:cs="仿宋_GB2312" w:hint="eastAsia"/>
          <w:sz w:val="32"/>
          <w:szCs w:val="32"/>
        </w:rPr>
        <w:t>3、评价方法</w:t>
      </w:r>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本次项目绩效评价采取的方法主要有现场调查法、指标分析法。</w:t>
      </w:r>
    </w:p>
    <w:p w:rsidR="00284621" w:rsidRDefault="00000000">
      <w:pPr>
        <w:ind w:firstLine="640"/>
        <w:outlineLvl w:val="2"/>
        <w:rPr>
          <w:rFonts w:ascii="仿宋_GB2312" w:eastAsia="仿宋_GB2312" w:hAnsi="仿宋_GB2312" w:cs="仿宋_GB2312" w:hint="eastAsia"/>
          <w:sz w:val="32"/>
          <w:szCs w:val="32"/>
        </w:rPr>
      </w:pPr>
      <w:bookmarkStart w:id="55" w:name="_Toc28826"/>
      <w:bookmarkStart w:id="56" w:name="_Toc11589"/>
      <w:bookmarkStart w:id="57" w:name="_Toc20414"/>
      <w:bookmarkStart w:id="58" w:name="_Toc1275"/>
      <w:bookmarkStart w:id="59" w:name="_Toc24464"/>
      <w:bookmarkStart w:id="60" w:name="_Toc18570"/>
      <w:bookmarkStart w:id="61" w:name="_Toc22333"/>
      <w:r>
        <w:rPr>
          <w:rFonts w:ascii="仿宋_GB2312" w:eastAsia="仿宋_GB2312" w:hAnsi="仿宋_GB2312" w:cs="仿宋_GB2312" w:hint="eastAsia"/>
          <w:sz w:val="32"/>
          <w:szCs w:val="32"/>
        </w:rPr>
        <w:t>（1）现场调查法</w:t>
      </w:r>
      <w:bookmarkEnd w:id="55"/>
      <w:bookmarkEnd w:id="56"/>
      <w:bookmarkEnd w:id="57"/>
      <w:bookmarkEnd w:id="58"/>
      <w:bookmarkEnd w:id="59"/>
      <w:bookmarkEnd w:id="60"/>
      <w:bookmarkEnd w:id="61"/>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通过现场调查的方式以获取绩效评价所需的原始数据资料，了解项目实施执行情况。调查方式主要有两种：一是评价工作组与调查对象进行访谈的方式；二是问卷调查的方</w:t>
      </w:r>
      <w:r>
        <w:rPr>
          <w:rFonts w:ascii="仿宋_GB2312" w:eastAsia="仿宋_GB2312" w:hAnsi="仿宋_GB2312" w:cs="仿宋_GB2312" w:hint="eastAsia"/>
          <w:sz w:val="32"/>
          <w:szCs w:val="32"/>
        </w:rPr>
        <w:lastRenderedPageBreak/>
        <w:t>式。</w:t>
      </w:r>
    </w:p>
    <w:p w:rsidR="00284621" w:rsidRDefault="00000000">
      <w:pPr>
        <w:ind w:firstLine="640"/>
        <w:outlineLvl w:val="2"/>
        <w:rPr>
          <w:rFonts w:ascii="仿宋_GB2312" w:eastAsia="仿宋_GB2312" w:hAnsi="仿宋_GB2312" w:cs="仿宋_GB2312" w:hint="eastAsia"/>
          <w:sz w:val="32"/>
          <w:szCs w:val="32"/>
        </w:rPr>
      </w:pPr>
      <w:bookmarkStart w:id="62" w:name="_Toc25366"/>
      <w:bookmarkStart w:id="63" w:name="_Toc2765"/>
      <w:bookmarkStart w:id="64" w:name="_Toc8084"/>
      <w:bookmarkStart w:id="65" w:name="_Toc30359"/>
      <w:bookmarkStart w:id="66" w:name="_Toc17510"/>
      <w:bookmarkStart w:id="67" w:name="_Toc21597"/>
      <w:bookmarkStart w:id="68" w:name="_Toc30624"/>
      <w:r>
        <w:rPr>
          <w:rFonts w:ascii="仿宋_GB2312" w:eastAsia="仿宋_GB2312" w:hAnsi="仿宋_GB2312" w:cs="仿宋_GB2312" w:hint="eastAsia"/>
          <w:sz w:val="32"/>
          <w:szCs w:val="32"/>
        </w:rPr>
        <w:t>（2）指标分析法</w:t>
      </w:r>
      <w:bookmarkEnd w:id="62"/>
      <w:bookmarkEnd w:id="63"/>
      <w:bookmarkEnd w:id="64"/>
      <w:bookmarkEnd w:id="65"/>
      <w:bookmarkEnd w:id="66"/>
      <w:bookmarkEnd w:id="67"/>
      <w:bookmarkEnd w:id="68"/>
    </w:p>
    <w:p w:rsidR="00284621"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通过对绩效评价指标体系中设定的指标进行分析，得出完成目标或未完成目标的原因，从而评价项目所产生的效益。</w:t>
      </w:r>
    </w:p>
    <w:p w:rsidR="00284621" w:rsidRDefault="00000000">
      <w:pPr>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4、评定标准</w:t>
      </w:r>
      <w:bookmarkEnd w:id="48"/>
      <w:bookmarkEnd w:id="49"/>
      <w:bookmarkEnd w:id="50"/>
      <w:bookmarkEnd w:id="51"/>
      <w:bookmarkEnd w:id="52"/>
      <w:bookmarkEnd w:id="53"/>
      <w:bookmarkEnd w:id="54"/>
    </w:p>
    <w:p w:rsidR="00284621" w:rsidRDefault="00000000">
      <w:pPr>
        <w:ind w:firstLine="640"/>
        <w:outlineLvl w:val="1"/>
        <w:rPr>
          <w:rFonts w:ascii="仿宋_GB2312" w:eastAsia="仿宋_GB2312" w:hAnsi="仿宋_GB2312" w:cs="仿宋_GB2312" w:hint="eastAsia"/>
          <w:sz w:val="32"/>
          <w:szCs w:val="32"/>
        </w:rPr>
      </w:pPr>
      <w:bookmarkStart w:id="69" w:name="_Toc20189"/>
      <w:bookmarkStart w:id="70" w:name="_Toc9261"/>
      <w:r>
        <w:rPr>
          <w:rFonts w:ascii="仿宋_GB2312" w:eastAsia="仿宋_GB2312" w:hAnsi="仿宋_GB2312" w:cs="仿宋_GB2312" w:hint="eastAsia"/>
          <w:sz w:val="32"/>
          <w:szCs w:val="32"/>
        </w:rPr>
        <w:t>本次绩效评价结果评定标准依据《内蒙古自治区项目支出绩效评价管理办法》（内政办发〔2021〕5号）确定，等级划分为四档：90（含）—100分为优、80（含）—90分为良、60（含）—80分为中、60分以下为差。</w:t>
      </w:r>
      <w:bookmarkEnd w:id="69"/>
      <w:bookmarkEnd w:id="70"/>
    </w:p>
    <w:p w:rsidR="00284621" w:rsidRDefault="00000000">
      <w:pPr>
        <w:ind w:firstLine="640"/>
        <w:outlineLvl w:val="1"/>
        <w:rPr>
          <w:rFonts w:ascii="楷体" w:eastAsia="楷体" w:hAnsi="楷体" w:cs="楷体" w:hint="eastAsia"/>
          <w:b/>
          <w:bCs/>
          <w:sz w:val="32"/>
          <w:szCs w:val="32"/>
        </w:rPr>
      </w:pPr>
      <w:bookmarkStart w:id="71" w:name="_Toc25482"/>
      <w:bookmarkStart w:id="72" w:name="_Toc29359"/>
      <w:bookmarkStart w:id="73" w:name="_Toc24378"/>
      <w:bookmarkStart w:id="74" w:name="_Toc23594"/>
      <w:bookmarkStart w:id="75" w:name="_Toc27185"/>
      <w:bookmarkStart w:id="76" w:name="_Toc17358"/>
      <w:bookmarkStart w:id="77" w:name="_Toc2753"/>
      <w:bookmarkStart w:id="78" w:name="_Toc20359"/>
      <w:bookmarkEnd w:id="34"/>
      <w:bookmarkEnd w:id="35"/>
      <w:bookmarkEnd w:id="36"/>
      <w:bookmarkEnd w:id="37"/>
      <w:bookmarkEnd w:id="38"/>
      <w:bookmarkEnd w:id="39"/>
      <w:bookmarkEnd w:id="40"/>
      <w:r>
        <w:rPr>
          <w:rFonts w:ascii="楷体" w:eastAsia="楷体" w:hAnsi="楷体" w:cs="楷体" w:hint="eastAsia"/>
          <w:sz w:val="32"/>
          <w:szCs w:val="32"/>
        </w:rPr>
        <w:t>（三）</w:t>
      </w:r>
      <w:bookmarkEnd w:id="71"/>
      <w:bookmarkEnd w:id="72"/>
      <w:bookmarkEnd w:id="73"/>
      <w:bookmarkEnd w:id="74"/>
      <w:bookmarkEnd w:id="75"/>
      <w:bookmarkEnd w:id="76"/>
      <w:bookmarkEnd w:id="77"/>
      <w:bookmarkEnd w:id="78"/>
      <w:r>
        <w:rPr>
          <w:rFonts w:ascii="楷体" w:eastAsia="楷体" w:hAnsi="楷体" w:cs="楷体" w:hint="eastAsia"/>
          <w:sz w:val="32"/>
          <w:szCs w:val="32"/>
        </w:rPr>
        <w:t>绩效评价工作过程</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79" w:name="_Toc23720"/>
      <w:bookmarkStart w:id="80" w:name="_Toc7781"/>
      <w:bookmarkStart w:id="81" w:name="_Toc30739"/>
      <w:bookmarkStart w:id="82" w:name="_Toc30019"/>
      <w:bookmarkStart w:id="83" w:name="_Toc11189"/>
      <w:bookmarkStart w:id="84" w:name="_Toc20680"/>
      <w:bookmarkStart w:id="85" w:name="_Toc16178"/>
      <w:bookmarkStart w:id="86" w:name="_Toc29350"/>
      <w:bookmarkStart w:id="87" w:name="_Toc6908"/>
      <w:r>
        <w:rPr>
          <w:rFonts w:ascii="仿宋_GB2312" w:eastAsia="仿宋_GB2312" w:hAnsi="仿宋_GB2312" w:cs="仿宋_GB2312" w:hint="eastAsia"/>
          <w:spacing w:val="-3"/>
          <w:w w:val="99"/>
          <w:sz w:val="32"/>
          <w:szCs w:val="32"/>
        </w:rPr>
        <w:t>本次绩效评价工作分为三个阶段，包括评价准备、评价实施和沟通反馈。</w:t>
      </w:r>
      <w:bookmarkEnd w:id="79"/>
      <w:bookmarkEnd w:id="80"/>
    </w:p>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bookmarkStart w:id="88" w:name="_Toc9021"/>
      <w:bookmarkEnd w:id="81"/>
      <w:bookmarkEnd w:id="82"/>
      <w:r>
        <w:rPr>
          <w:rFonts w:ascii="仿宋_GB2312" w:eastAsia="仿宋_GB2312" w:hAnsi="仿宋_GB2312" w:cs="仿宋_GB2312" w:hint="eastAsia"/>
          <w:spacing w:val="-3"/>
          <w:w w:val="99"/>
          <w:sz w:val="32"/>
          <w:szCs w:val="32"/>
        </w:rPr>
        <w:t>1、评价准备阶段</w:t>
      </w:r>
      <w:bookmarkEnd w:id="88"/>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89" w:name="_Toc31754"/>
      <w:bookmarkStart w:id="90" w:name="_Toc6966"/>
      <w:r>
        <w:rPr>
          <w:rFonts w:ascii="仿宋_GB2312" w:eastAsia="仿宋_GB2312" w:hAnsi="仿宋_GB2312" w:cs="仿宋_GB2312" w:hint="eastAsia"/>
          <w:spacing w:val="-3"/>
          <w:w w:val="99"/>
          <w:sz w:val="32"/>
          <w:szCs w:val="32"/>
        </w:rPr>
        <w:t>（1）组建评价工作组</w:t>
      </w:r>
      <w:bookmarkEnd w:id="89"/>
      <w:bookmarkEnd w:id="90"/>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91" w:name="_Toc2685"/>
      <w:bookmarkStart w:id="92" w:name="_Toc22426"/>
      <w:r>
        <w:rPr>
          <w:rFonts w:ascii="仿宋_GB2312" w:eastAsia="仿宋_GB2312" w:hAnsi="仿宋_GB2312" w:cs="仿宋_GB2312" w:hint="eastAsia"/>
          <w:spacing w:val="-3"/>
          <w:w w:val="99"/>
          <w:sz w:val="32"/>
          <w:szCs w:val="32"/>
        </w:rPr>
        <w:t>内蒙古自治区供销合作社联合社（以下简称“区社”）成立本次绩效评价工作组，评价工作组全程负责组织、实施绩效评价工作，按照《内蒙古自治区项目支出绩效评价管理办法》执行。</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（2）收集资料</w:t>
      </w:r>
      <w:bookmarkEnd w:id="91"/>
      <w:bookmarkEnd w:id="92"/>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93" w:name="_Toc31987"/>
      <w:bookmarkStart w:id="94" w:name="_Toc6455"/>
      <w:r>
        <w:rPr>
          <w:rFonts w:ascii="仿宋_GB2312" w:eastAsia="仿宋_GB2312" w:hAnsi="仿宋_GB2312" w:cs="仿宋_GB2312" w:hint="eastAsia"/>
          <w:spacing w:val="-3"/>
          <w:w w:val="99"/>
          <w:sz w:val="32"/>
          <w:szCs w:val="32"/>
        </w:rPr>
        <w:t>评价工作组与内蒙古经贸学校相关科室业务负责人进行对接，确定项目评价重点、评价方式和评价内容。同时评价工</w:t>
      </w:r>
      <w:r>
        <w:rPr>
          <w:rFonts w:ascii="仿宋_GB2312" w:eastAsia="仿宋_GB2312" w:hAnsi="仿宋_GB2312" w:cs="仿宋_GB2312" w:hint="eastAsia"/>
          <w:spacing w:val="-3"/>
          <w:w w:val="99"/>
          <w:sz w:val="32"/>
          <w:szCs w:val="32"/>
        </w:rPr>
        <w:lastRenderedPageBreak/>
        <w:t>作组根据财政支出绩效评价资料清单，结合项目具体情况，制定前期资料准备清单并协助被评价单位开展前期资料的整理和收集工作。评价工作组对收集到的前期资料进行分类整理，对所收集资料内容的完备性、数据准确性和勾稽关系进行审核，在此基础上制定了评价指标体系。</w:t>
      </w:r>
      <w:bookmarkEnd w:id="93"/>
      <w:bookmarkEnd w:id="94"/>
    </w:p>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bookmarkStart w:id="95" w:name="_Toc19358"/>
      <w:r>
        <w:rPr>
          <w:rFonts w:ascii="仿宋_GB2312" w:eastAsia="仿宋_GB2312" w:hAnsi="仿宋_GB2312" w:cs="仿宋_GB2312" w:hint="eastAsia"/>
          <w:spacing w:val="-3"/>
          <w:w w:val="99"/>
          <w:sz w:val="32"/>
          <w:szCs w:val="32"/>
        </w:rPr>
        <w:t>2、评价实施阶段</w:t>
      </w:r>
      <w:bookmarkEnd w:id="95"/>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96" w:name="_Toc4844"/>
      <w:bookmarkStart w:id="97" w:name="_Toc5446"/>
      <w:r>
        <w:rPr>
          <w:rFonts w:ascii="仿宋_GB2312" w:eastAsia="仿宋_GB2312" w:hAnsi="仿宋_GB2312" w:cs="仿宋_GB2312" w:hint="eastAsia"/>
          <w:spacing w:val="-3"/>
          <w:w w:val="99"/>
          <w:sz w:val="32"/>
          <w:szCs w:val="32"/>
        </w:rPr>
        <w:t>评价工作组在内蒙古经贸学校开展项目评价工作，分为前期调研、评价指标体系的修正与确认、现场调研及组织召开综合评价会议4个阶段开展绩效评价现场工作。</w:t>
      </w:r>
      <w:bookmarkEnd w:id="96"/>
      <w:bookmarkEnd w:id="97"/>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98" w:name="_Toc8918"/>
      <w:bookmarkStart w:id="99" w:name="_Toc5311"/>
      <w:r>
        <w:rPr>
          <w:rFonts w:ascii="仿宋_GB2312" w:eastAsia="仿宋_GB2312" w:hAnsi="仿宋_GB2312" w:cs="仿宋_GB2312" w:hint="eastAsia"/>
          <w:spacing w:val="-3"/>
          <w:w w:val="99"/>
          <w:sz w:val="32"/>
          <w:szCs w:val="32"/>
        </w:rPr>
        <w:t>（1）前期调研</w:t>
      </w:r>
      <w:bookmarkEnd w:id="98"/>
      <w:bookmarkEnd w:id="99"/>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00" w:name="_Toc17823"/>
      <w:bookmarkStart w:id="101" w:name="_Toc29438"/>
      <w:r>
        <w:rPr>
          <w:rFonts w:ascii="仿宋_GB2312" w:eastAsia="仿宋_GB2312" w:hAnsi="仿宋_GB2312" w:cs="仿宋_GB2312" w:hint="eastAsia"/>
          <w:spacing w:val="-3"/>
          <w:w w:val="99"/>
          <w:sz w:val="32"/>
          <w:szCs w:val="32"/>
        </w:rPr>
        <w:t>评价工作组进行前期调研并收集资料工作，进一步论证评价工作方案的可行性、科学性以及合理性。</w:t>
      </w:r>
      <w:bookmarkEnd w:id="100"/>
      <w:bookmarkEnd w:id="101"/>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02" w:name="_Toc18629"/>
      <w:bookmarkStart w:id="103" w:name="_Toc11344"/>
      <w:r>
        <w:rPr>
          <w:rFonts w:ascii="仿宋_GB2312" w:eastAsia="仿宋_GB2312" w:hAnsi="仿宋_GB2312" w:cs="仿宋_GB2312" w:hint="eastAsia"/>
          <w:spacing w:val="-3"/>
          <w:w w:val="99"/>
          <w:sz w:val="32"/>
          <w:szCs w:val="32"/>
        </w:rPr>
        <w:t>（2）评价指标体系的修正与确认</w:t>
      </w:r>
      <w:bookmarkEnd w:id="102"/>
      <w:bookmarkEnd w:id="103"/>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04" w:name="_Toc21250"/>
      <w:bookmarkStart w:id="105" w:name="_Toc18080"/>
      <w:r>
        <w:rPr>
          <w:rFonts w:ascii="仿宋_GB2312" w:eastAsia="仿宋_GB2312" w:hAnsi="仿宋_GB2312" w:cs="仿宋_GB2312" w:hint="eastAsia"/>
          <w:spacing w:val="-3"/>
          <w:w w:val="99"/>
          <w:sz w:val="32"/>
          <w:szCs w:val="32"/>
        </w:rPr>
        <w:t>根据调研结果，通过与被评价单位沟通、意见征集和反馈，对本次绩效评价指标体系进行进一步修正与完善，最终确定本次绩效评价指标体系。</w:t>
      </w:r>
      <w:bookmarkEnd w:id="104"/>
      <w:bookmarkEnd w:id="105"/>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06" w:name="_Toc7564"/>
      <w:bookmarkStart w:id="107" w:name="_Toc13994"/>
      <w:r>
        <w:rPr>
          <w:rFonts w:ascii="仿宋_GB2312" w:eastAsia="仿宋_GB2312" w:hAnsi="仿宋_GB2312" w:cs="仿宋_GB2312" w:hint="eastAsia"/>
          <w:spacing w:val="-3"/>
          <w:w w:val="99"/>
          <w:sz w:val="32"/>
          <w:szCs w:val="32"/>
        </w:rPr>
        <w:t>（3）现场</w:t>
      </w:r>
      <w:bookmarkEnd w:id="106"/>
      <w:bookmarkEnd w:id="107"/>
      <w:r>
        <w:rPr>
          <w:rFonts w:ascii="仿宋_GB2312" w:eastAsia="仿宋_GB2312" w:hAnsi="仿宋_GB2312" w:cs="仿宋_GB2312" w:hint="eastAsia"/>
          <w:spacing w:val="-3"/>
          <w:w w:val="99"/>
          <w:sz w:val="32"/>
          <w:szCs w:val="32"/>
        </w:rPr>
        <w:t>调研</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08" w:name="_Toc3144"/>
      <w:bookmarkStart w:id="109" w:name="_Toc32032"/>
      <w:r>
        <w:rPr>
          <w:rFonts w:ascii="仿宋_GB2312" w:eastAsia="仿宋_GB2312" w:hAnsi="仿宋_GB2312" w:cs="仿宋_GB2312" w:hint="eastAsia"/>
          <w:spacing w:val="-3"/>
          <w:w w:val="99"/>
          <w:sz w:val="32"/>
          <w:szCs w:val="32"/>
        </w:rPr>
        <w:t>评价工作组到内蒙古经贸学校与项目负责人开展访谈及绩效评价工作。调研过程中采取勘查、访谈、审阅、核对和复算等方法，组织开展调查取证。通过收集项目相关资料，掌握项目的具体实施情况，客观地评价项目实际效益。</w:t>
      </w:r>
      <w:bookmarkStart w:id="110" w:name="_Toc12957"/>
      <w:bookmarkStart w:id="111" w:name="_Toc28552"/>
      <w:bookmarkEnd w:id="108"/>
      <w:bookmarkEnd w:id="109"/>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（4）组织召开综合评价会议</w:t>
      </w:r>
      <w:bookmarkEnd w:id="110"/>
      <w:bookmarkEnd w:id="111"/>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12" w:name="_Toc3903"/>
      <w:bookmarkStart w:id="113" w:name="_Toc27223"/>
      <w:r>
        <w:rPr>
          <w:rFonts w:ascii="仿宋_GB2312" w:eastAsia="仿宋_GB2312" w:hAnsi="仿宋_GB2312" w:cs="仿宋_GB2312" w:hint="eastAsia"/>
          <w:spacing w:val="-3"/>
          <w:w w:val="99"/>
          <w:sz w:val="32"/>
          <w:szCs w:val="32"/>
        </w:rPr>
        <w:lastRenderedPageBreak/>
        <w:t>评价工作组根据前期梳理关键问题与被评价单位进行充分交流和沟通，在此基础上，评价工作组组织召开综合评价会议，对被评价单位提供的绩效评价资料进行综合分析论证。</w:t>
      </w:r>
      <w:bookmarkEnd w:id="112"/>
      <w:bookmarkEnd w:id="113"/>
    </w:p>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bookmarkStart w:id="114" w:name="_Toc13188"/>
      <w:r>
        <w:rPr>
          <w:rFonts w:ascii="仿宋_GB2312" w:eastAsia="仿宋_GB2312" w:hAnsi="仿宋_GB2312" w:cs="仿宋_GB2312" w:hint="eastAsia"/>
          <w:spacing w:val="-3"/>
          <w:w w:val="99"/>
          <w:sz w:val="32"/>
          <w:szCs w:val="32"/>
        </w:rPr>
        <w:t>3、</w:t>
      </w:r>
      <w:bookmarkEnd w:id="114"/>
      <w:r>
        <w:rPr>
          <w:rFonts w:ascii="仿宋_GB2312" w:eastAsia="仿宋_GB2312" w:hAnsi="仿宋_GB2312" w:cs="仿宋_GB2312" w:hint="eastAsia"/>
          <w:spacing w:val="-3"/>
          <w:w w:val="99"/>
          <w:sz w:val="32"/>
          <w:szCs w:val="32"/>
        </w:rPr>
        <w:t>沟通反馈</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15" w:name="_Toc8698"/>
      <w:bookmarkStart w:id="116" w:name="_Toc754"/>
      <w:r>
        <w:rPr>
          <w:rFonts w:ascii="仿宋_GB2312" w:eastAsia="仿宋_GB2312" w:hAnsi="仿宋_GB2312" w:cs="仿宋_GB2312" w:hint="eastAsia"/>
          <w:spacing w:val="-3"/>
          <w:w w:val="99"/>
          <w:sz w:val="32"/>
          <w:szCs w:val="32"/>
        </w:rPr>
        <w:t>根据收集的资料、评价分析情况，确定评价结果等级，</w:t>
      </w:r>
      <w:bookmarkStart w:id="117" w:name="_Toc25511"/>
      <w:bookmarkStart w:id="118" w:name="_Toc21180"/>
      <w:bookmarkEnd w:id="115"/>
      <w:bookmarkEnd w:id="116"/>
      <w:r>
        <w:rPr>
          <w:rFonts w:ascii="仿宋_GB2312" w:eastAsia="仿宋_GB2312" w:hAnsi="仿宋_GB2312" w:cs="仿宋_GB2312" w:hint="eastAsia"/>
          <w:spacing w:val="-3"/>
          <w:w w:val="99"/>
          <w:sz w:val="32"/>
          <w:szCs w:val="32"/>
        </w:rPr>
        <w:t>绩效评价报告初稿完成后与被评价单位对报告进行审核，提出反馈意见。</w:t>
      </w:r>
      <w:bookmarkStart w:id="119" w:name="_Toc28030"/>
      <w:bookmarkStart w:id="120" w:name="_Toc30945"/>
      <w:bookmarkEnd w:id="117"/>
      <w:bookmarkEnd w:id="118"/>
      <w:r>
        <w:rPr>
          <w:rFonts w:ascii="仿宋_GB2312" w:eastAsia="仿宋_GB2312" w:hAnsi="仿宋_GB2312" w:cs="仿宋_GB2312" w:hint="eastAsia"/>
          <w:spacing w:val="-3"/>
          <w:w w:val="99"/>
          <w:sz w:val="32"/>
          <w:szCs w:val="32"/>
        </w:rPr>
        <w:t>在反馈意见的基础上，对评价报告进行修改，形成正式绩效评价报告。</w:t>
      </w:r>
      <w:bookmarkEnd w:id="119"/>
      <w:bookmarkEnd w:id="120"/>
    </w:p>
    <w:p w:rsidR="00284621" w:rsidRDefault="00000000">
      <w:pPr>
        <w:ind w:firstLine="640"/>
        <w:outlineLvl w:val="0"/>
        <w:rPr>
          <w:rFonts w:ascii="黑体" w:eastAsia="黑体" w:hAnsi="黑体" w:cs="黑体" w:hint="eastAsia"/>
          <w:sz w:val="32"/>
          <w:szCs w:val="32"/>
        </w:rPr>
      </w:pPr>
      <w:bookmarkStart w:id="121" w:name="_Toc23256"/>
      <w:bookmarkStart w:id="122" w:name="_Toc16744"/>
      <w:r>
        <w:rPr>
          <w:rFonts w:ascii="黑体" w:eastAsia="黑体" w:hAnsi="黑体" w:cs="黑体" w:hint="eastAsia"/>
          <w:sz w:val="32"/>
          <w:szCs w:val="32"/>
        </w:rPr>
        <w:t>三、</w:t>
      </w:r>
      <w:bookmarkStart w:id="123" w:name="_Toc7768"/>
      <w:bookmarkStart w:id="124" w:name="_Toc22288"/>
      <w:bookmarkStart w:id="125" w:name="_Toc20456"/>
      <w:bookmarkStart w:id="126" w:name="_Toc27339"/>
      <w:bookmarkEnd w:id="83"/>
      <w:bookmarkEnd w:id="84"/>
      <w:bookmarkEnd w:id="121"/>
      <w:bookmarkEnd w:id="122"/>
      <w:r>
        <w:rPr>
          <w:rFonts w:ascii="黑体" w:eastAsia="黑体" w:hAnsi="黑体" w:cs="黑体" w:hint="eastAsia"/>
          <w:sz w:val="32"/>
          <w:szCs w:val="32"/>
        </w:rPr>
        <w:t>综合评价情况及评价结论</w:t>
      </w:r>
      <w:bookmarkEnd w:id="85"/>
      <w:bookmarkEnd w:id="86"/>
      <w:bookmarkEnd w:id="87"/>
      <w:bookmarkEnd w:id="123"/>
      <w:bookmarkEnd w:id="124"/>
      <w:bookmarkEnd w:id="125"/>
      <w:bookmarkEnd w:id="126"/>
    </w:p>
    <w:p w:rsidR="00284621" w:rsidRDefault="00000000">
      <w:pPr>
        <w:ind w:firstLine="618"/>
        <w:rPr>
          <w:rFonts w:ascii="仿宋_GB2312" w:eastAsia="仿宋_GB2312" w:hAnsi="仿宋_GB2312" w:cs="仿宋_GB2312" w:hint="eastAsia"/>
          <w:color w:val="0000FF"/>
          <w:spacing w:val="-3"/>
          <w:w w:val="99"/>
          <w:sz w:val="32"/>
          <w:szCs w:val="32"/>
        </w:rPr>
      </w:pPr>
      <w:r>
        <w:rPr>
          <w:rFonts w:ascii="仿宋_GB2312" w:eastAsia="仿宋_GB2312" w:hAnsi="仿宋_GB2312" w:cs="仿宋_GB2312" w:hint="eastAsia"/>
          <w:spacing w:val="-3"/>
          <w:w w:val="99"/>
          <w:sz w:val="32"/>
          <w:szCs w:val="32"/>
        </w:rPr>
        <w:t>通过本次评价工作，对</w:t>
      </w:r>
      <w:r>
        <w:rPr>
          <w:rFonts w:ascii="仿宋_GB2312" w:eastAsia="仿宋_GB2312" w:hAnsi="仿宋_GB2312" w:cs="仿宋_GB2312" w:hint="eastAsia"/>
          <w:sz w:val="32"/>
          <w:szCs w:val="32"/>
        </w:rPr>
        <w:t>中央中职学生资助项目</w:t>
      </w:r>
      <w:r>
        <w:rPr>
          <w:rFonts w:ascii="仿宋_GB2312" w:eastAsia="仿宋_GB2312" w:hAnsi="仿宋_GB2312" w:cs="仿宋_GB2312" w:hint="eastAsia"/>
          <w:spacing w:val="-3"/>
          <w:w w:val="99"/>
          <w:sz w:val="32"/>
          <w:szCs w:val="32"/>
        </w:rPr>
        <w:t>资金落实到位、资金使用规范透明，项目资金实施过程管理有效，使</w:t>
      </w:r>
      <w:r>
        <w:rPr>
          <w:rFonts w:ascii="仿宋_GB2312" w:eastAsia="仿宋_GB2312" w:hAnsi="仿宋_GB2312" w:cs="仿宋_GB2312" w:hint="eastAsia"/>
          <w:sz w:val="32"/>
          <w:szCs w:val="32"/>
        </w:rPr>
        <w:t>中央中职学生资助项目</w:t>
      </w:r>
      <w:r>
        <w:rPr>
          <w:rFonts w:ascii="仿宋_GB2312" w:eastAsia="仿宋_GB2312" w:hAnsi="仿宋_GB2312" w:cs="仿宋_GB2312" w:hint="eastAsia"/>
          <w:spacing w:val="-3"/>
          <w:w w:val="99"/>
          <w:sz w:val="32"/>
          <w:szCs w:val="32"/>
        </w:rPr>
        <w:t>资金发挥了应有作用。在资料整理、数据分析、现场调研的基础上，依据项目绩效评价指标体系进行打分，</w:t>
      </w:r>
      <w:r>
        <w:rPr>
          <w:rFonts w:ascii="仿宋_GB2312" w:eastAsia="仿宋_GB2312" w:hAnsi="仿宋_GB2312" w:cs="仿宋_GB2312" w:hint="eastAsia"/>
          <w:sz w:val="32"/>
          <w:szCs w:val="32"/>
        </w:rPr>
        <w:t>中央中职学生资助项目</w:t>
      </w:r>
      <w:r>
        <w:rPr>
          <w:rFonts w:ascii="仿宋_GB2312" w:eastAsia="仿宋_GB2312" w:hAnsi="仿宋_GB2312" w:cs="仿宋_GB2312" w:hint="eastAsia"/>
          <w:spacing w:val="-3"/>
          <w:w w:val="99"/>
          <w:sz w:val="32"/>
          <w:szCs w:val="32"/>
        </w:rPr>
        <w:t>绩效评价综合得分为96分，绩效等级为“优”。</w:t>
      </w:r>
    </w:p>
    <w:p w:rsidR="00284621" w:rsidRDefault="00000000">
      <w:pPr>
        <w:spacing w:line="240" w:lineRule="auto"/>
        <w:ind w:firstLine="618"/>
        <w:outlineLvl w:val="0"/>
        <w:rPr>
          <w:rFonts w:ascii="黑体" w:eastAsia="黑体" w:hAnsi="黑体" w:cs="黑体" w:hint="eastAsia"/>
          <w:spacing w:val="-3"/>
          <w:w w:val="99"/>
          <w:sz w:val="32"/>
          <w:szCs w:val="32"/>
        </w:rPr>
      </w:pPr>
      <w:bookmarkStart w:id="127" w:name="_Toc6604"/>
      <w:bookmarkStart w:id="128" w:name="_Toc17665"/>
      <w:bookmarkStart w:id="129" w:name="_Toc18996"/>
      <w:bookmarkStart w:id="130" w:name="_Toc3570"/>
      <w:bookmarkStart w:id="131" w:name="_Toc29176"/>
      <w:bookmarkStart w:id="132" w:name="_Toc26260"/>
      <w:bookmarkStart w:id="133" w:name="_Toc28795"/>
      <w:bookmarkEnd w:id="7"/>
      <w:bookmarkEnd w:id="8"/>
      <w:bookmarkEnd w:id="9"/>
      <w:bookmarkEnd w:id="10"/>
      <w:bookmarkEnd w:id="11"/>
      <w:bookmarkEnd w:id="12"/>
      <w:bookmarkEnd w:id="13"/>
      <w:r>
        <w:rPr>
          <w:rFonts w:ascii="黑体" w:eastAsia="黑体" w:hAnsi="黑体" w:cs="黑体" w:hint="eastAsia"/>
          <w:spacing w:val="-3"/>
          <w:w w:val="99"/>
          <w:sz w:val="32"/>
          <w:szCs w:val="32"/>
        </w:rPr>
        <w:t>四、绩效评价指标分析</w:t>
      </w:r>
    </w:p>
    <w:p w:rsidR="00284621" w:rsidRDefault="00000000">
      <w:pPr>
        <w:spacing w:line="240" w:lineRule="auto"/>
        <w:ind w:firstLine="640"/>
        <w:outlineLvl w:val="1"/>
        <w:rPr>
          <w:rFonts w:ascii="楷体" w:eastAsia="楷体" w:hAnsi="楷体" w:cs="楷体" w:hint="eastAsia"/>
          <w:sz w:val="32"/>
          <w:szCs w:val="32"/>
        </w:rPr>
      </w:pPr>
      <w:bookmarkStart w:id="134" w:name="_Toc30565"/>
      <w:bookmarkStart w:id="135" w:name="_Toc18810"/>
      <w:bookmarkStart w:id="136" w:name="_Toc31450"/>
      <w:bookmarkStart w:id="137" w:name="_Toc6631"/>
      <w:bookmarkStart w:id="138" w:name="_Toc19571"/>
      <w:bookmarkStart w:id="139" w:name="_Toc13363"/>
      <w:r>
        <w:rPr>
          <w:rFonts w:ascii="楷体" w:eastAsia="楷体" w:hAnsi="楷体" w:cs="楷体" w:hint="eastAsia"/>
          <w:sz w:val="32"/>
          <w:szCs w:val="32"/>
        </w:rPr>
        <w:t>（一）项目决策方面</w:t>
      </w:r>
      <w:bookmarkEnd w:id="134"/>
      <w:bookmarkEnd w:id="135"/>
    </w:p>
    <w:p w:rsidR="00284621" w:rsidRDefault="00000000">
      <w:pPr>
        <w:spacing w:line="240" w:lineRule="auto"/>
        <w:ind w:firstLine="618"/>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32"/>
          <w:szCs w:val="32"/>
        </w:rPr>
        <w:t>项目决策从项目立项和资金落实进行评价，包括绩效目标明确性、决策程序规范性、预算编制科学性、资金到位率及到位及时率。该项指标分值20分，评价得分20分，得分率100%，具体见表1：</w:t>
      </w:r>
    </w:p>
    <w:p w:rsidR="00284621" w:rsidRDefault="00284621">
      <w:pPr>
        <w:spacing w:line="240" w:lineRule="auto"/>
        <w:ind w:firstLineChars="0" w:firstLine="0"/>
        <w:jc w:val="center"/>
        <w:rPr>
          <w:rFonts w:ascii="仿宋_GB2312" w:eastAsia="仿宋_GB2312" w:hAnsi="仿宋_GB2312" w:cs="仿宋_GB2312" w:hint="eastAsia"/>
          <w:spacing w:val="-3"/>
          <w:w w:val="99"/>
          <w:sz w:val="28"/>
          <w:szCs w:val="28"/>
        </w:rPr>
      </w:pPr>
    </w:p>
    <w:p w:rsidR="00284621" w:rsidRDefault="00000000">
      <w:pPr>
        <w:spacing w:line="240" w:lineRule="auto"/>
        <w:ind w:firstLineChars="0" w:firstLine="0"/>
        <w:jc w:val="center"/>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28"/>
          <w:szCs w:val="28"/>
        </w:rPr>
        <w:lastRenderedPageBreak/>
        <w:t>表1  中央中职学生资助项目投入得分表</w:t>
      </w:r>
    </w:p>
    <w:tbl>
      <w:tblPr>
        <w:tblW w:w="91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307"/>
        <w:gridCol w:w="2275"/>
        <w:gridCol w:w="1025"/>
        <w:gridCol w:w="962"/>
        <w:gridCol w:w="1175"/>
        <w:gridCol w:w="2363"/>
      </w:tblGrid>
      <w:tr w:rsidR="00284621">
        <w:trPr>
          <w:trHeight w:val="660"/>
        </w:trPr>
        <w:tc>
          <w:tcPr>
            <w:tcW w:w="1307"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二级指标</w:t>
            </w: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三级指标</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分值</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得分</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得分率</w:t>
            </w:r>
          </w:p>
        </w:tc>
        <w:tc>
          <w:tcPr>
            <w:tcW w:w="236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扣分原因</w:t>
            </w:r>
          </w:p>
        </w:tc>
      </w:tr>
      <w:tr w:rsidR="00284621">
        <w:trPr>
          <w:trHeight w:val="660"/>
        </w:trPr>
        <w:tc>
          <w:tcPr>
            <w:tcW w:w="130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项目立项</w:t>
            </w: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绩效目标明确性</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cs="宋体" w:hint="eastAsia"/>
                <w:color w:val="000000"/>
                <w:kern w:val="0"/>
                <w:szCs w:val="24"/>
                <w:lang w:bidi="ar"/>
              </w:rPr>
              <w:t>3</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tcBorders>
              <w:tl2br w:val="nil"/>
              <w:tr2bl w:val="nil"/>
            </w:tcBorders>
            <w:tcMar>
              <w:top w:w="10" w:type="dxa"/>
              <w:left w:w="10" w:type="dxa"/>
              <w:right w:w="10" w:type="dxa"/>
            </w:tcMar>
            <w:vAlign w:val="center"/>
          </w:tcPr>
          <w:p w:rsidR="00284621" w:rsidRDefault="00284621">
            <w:pPr>
              <w:spacing w:line="240" w:lineRule="auto"/>
              <w:ind w:firstLineChars="0" w:firstLine="0"/>
              <w:jc w:val="center"/>
              <w:rPr>
                <w:rFonts w:ascii="仿宋_GB2312" w:eastAsia="仿宋_GB2312" w:cs="仿宋_GB2312" w:hint="eastAsia"/>
                <w:color w:val="000000"/>
                <w:szCs w:val="24"/>
              </w:rPr>
            </w:pP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决策程序规范性</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cs="宋体" w:hint="eastAsia"/>
                <w:color w:val="000000"/>
                <w:kern w:val="0"/>
                <w:szCs w:val="24"/>
                <w:lang w:bidi="ar"/>
              </w:rPr>
              <w:t>3</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tcBorders>
              <w:tl2br w:val="nil"/>
              <w:tr2bl w:val="nil"/>
            </w:tcBorders>
            <w:tcMar>
              <w:top w:w="10" w:type="dxa"/>
              <w:left w:w="10" w:type="dxa"/>
              <w:right w:w="10" w:type="dxa"/>
            </w:tcMar>
            <w:vAlign w:val="center"/>
          </w:tcPr>
          <w:p w:rsidR="00284621" w:rsidRDefault="00284621">
            <w:pPr>
              <w:spacing w:line="240" w:lineRule="auto"/>
              <w:ind w:firstLineChars="0" w:firstLine="0"/>
              <w:jc w:val="center"/>
              <w:rPr>
                <w:rFonts w:ascii="仿宋_GB2312" w:eastAsia="仿宋_GB2312" w:cs="仿宋_GB2312" w:hint="eastAsia"/>
                <w:color w:val="000000"/>
                <w:szCs w:val="24"/>
              </w:rPr>
            </w:pP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预算编制科学性</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4</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cs="宋体" w:hint="eastAsia"/>
                <w:color w:val="000000"/>
                <w:kern w:val="0"/>
                <w:szCs w:val="24"/>
                <w:lang w:bidi="ar"/>
              </w:rPr>
              <w:t>4</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资金落实</w:t>
            </w: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color w:val="000000"/>
                <w:kern w:val="0"/>
                <w:szCs w:val="24"/>
                <w:lang w:bidi="ar"/>
              </w:rPr>
              <w:t>资金到位率</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5</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cs="宋体" w:hint="eastAsia"/>
                <w:color w:val="000000"/>
                <w:kern w:val="0"/>
                <w:szCs w:val="24"/>
                <w:lang w:bidi="ar"/>
              </w:rPr>
              <w:t>5</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tcBorders>
              <w:tl2br w:val="nil"/>
              <w:tr2bl w:val="nil"/>
            </w:tcBorders>
            <w:tcMar>
              <w:top w:w="10" w:type="dxa"/>
              <w:left w:w="10" w:type="dxa"/>
              <w:right w:w="10" w:type="dxa"/>
            </w:tcMar>
            <w:vAlign w:val="center"/>
          </w:tcPr>
          <w:p w:rsidR="00284621" w:rsidRDefault="00284621">
            <w:pPr>
              <w:spacing w:line="240" w:lineRule="auto"/>
              <w:ind w:firstLineChars="0" w:firstLine="0"/>
              <w:jc w:val="center"/>
              <w:rPr>
                <w:rFonts w:ascii="仿宋_GB2312" w:eastAsia="仿宋_GB2312" w:cs="仿宋_GB2312" w:hint="eastAsia"/>
                <w:color w:val="000000"/>
                <w:szCs w:val="24"/>
              </w:rPr>
            </w:pP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color w:val="000000"/>
                <w:kern w:val="0"/>
                <w:szCs w:val="24"/>
                <w:lang w:bidi="ar"/>
              </w:rPr>
              <w:t>到位及时率</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5</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cs="宋体" w:hint="eastAsia"/>
                <w:color w:val="000000"/>
                <w:kern w:val="0"/>
                <w:szCs w:val="24"/>
                <w:lang w:bidi="ar"/>
              </w:rPr>
              <w:t>5</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bl>
    <w:p w:rsidR="00284621" w:rsidRDefault="00000000">
      <w:pPr>
        <w:spacing w:line="240" w:lineRule="auto"/>
        <w:ind w:firstLine="640"/>
        <w:outlineLvl w:val="2"/>
        <w:rPr>
          <w:rFonts w:ascii="仿宋_GB2312" w:eastAsia="仿宋_GB2312" w:hAnsi="仿宋_GB2312" w:cs="仿宋_GB2312" w:hint="eastAsia"/>
          <w:sz w:val="32"/>
          <w:szCs w:val="32"/>
        </w:rPr>
      </w:pPr>
      <w:bookmarkStart w:id="140" w:name="_Toc7815"/>
      <w:r>
        <w:rPr>
          <w:rFonts w:ascii="仿宋_GB2312" w:eastAsia="仿宋_GB2312" w:hAnsi="仿宋_GB2312" w:cs="仿宋_GB2312" w:hint="eastAsia"/>
          <w:sz w:val="32"/>
          <w:szCs w:val="32"/>
        </w:rPr>
        <w:t>1、</w:t>
      </w:r>
      <w:bookmarkEnd w:id="140"/>
      <w:r>
        <w:rPr>
          <w:rFonts w:ascii="仿宋_GB2312" w:eastAsia="仿宋_GB2312" w:hAnsi="仿宋_GB2312" w:cs="仿宋_GB2312" w:hint="eastAsia"/>
          <w:sz w:val="32"/>
          <w:szCs w:val="32"/>
        </w:rPr>
        <w:t>项目立项</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（1）绩效目标明确性</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指标分值3分，评价得分3分。2023年内蒙古经贸学校对中央中职学生资助项目进行绩效目标申报，且指标体系较明确、细化，量化数据可考核，故绩效目标不予扣分。</w:t>
      </w:r>
    </w:p>
    <w:p w:rsidR="00284621" w:rsidRDefault="00000000">
      <w:pPr>
        <w:spacing w:line="240" w:lineRule="auto"/>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（2）决策程序规范性</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指标分值3分，评价得分3分。项目资金实施前进行系统申请指标，财政按照申请指标同意并实施批复，决策程序较规范，故决策程序规范性不予扣分。</w:t>
      </w:r>
    </w:p>
    <w:p w:rsidR="00284621" w:rsidRDefault="00000000">
      <w:pPr>
        <w:numPr>
          <w:ilvl w:val="0"/>
          <w:numId w:val="3"/>
        </w:numPr>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预算编制科学性</w:t>
      </w:r>
    </w:p>
    <w:p w:rsidR="00284621" w:rsidRDefault="00000000">
      <w:pPr>
        <w:ind w:firstLine="618"/>
        <w:rPr>
          <w:rFonts w:ascii="Times New Roman" w:hAnsi="Times New Roman"/>
          <w:sz w:val="21"/>
          <w:szCs w:val="24"/>
        </w:rPr>
      </w:pPr>
      <w:r>
        <w:rPr>
          <w:rFonts w:ascii="仿宋_GB2312" w:eastAsia="仿宋_GB2312" w:hAnsi="仿宋_GB2312" w:cs="仿宋_GB2312" w:hint="eastAsia"/>
          <w:spacing w:val="-3"/>
          <w:w w:val="99"/>
          <w:sz w:val="32"/>
          <w:szCs w:val="32"/>
        </w:rPr>
        <w:t>指标分值4分，评价得分4分。经查看内蒙古经贸学校预决算表，预算编制依据充分、较科学，故预算编制科学性扣2分。</w:t>
      </w:r>
    </w:p>
    <w:p w:rsidR="00284621" w:rsidRDefault="00000000">
      <w:pPr>
        <w:spacing w:line="240" w:lineRule="auto"/>
        <w:ind w:firstLine="640"/>
        <w:outlineLvl w:val="2"/>
        <w:rPr>
          <w:rFonts w:ascii="仿宋_GB2312" w:eastAsia="仿宋_GB2312" w:hAnsi="仿宋_GB2312" w:cs="仿宋_GB2312" w:hint="eastAsia"/>
          <w:sz w:val="32"/>
          <w:szCs w:val="32"/>
        </w:rPr>
      </w:pPr>
      <w:bookmarkStart w:id="141" w:name="_Toc28329"/>
      <w:r>
        <w:rPr>
          <w:rFonts w:ascii="仿宋_GB2312" w:eastAsia="仿宋_GB2312" w:hAnsi="仿宋_GB2312" w:cs="仿宋_GB2312" w:hint="eastAsia"/>
          <w:sz w:val="32"/>
          <w:szCs w:val="32"/>
        </w:rPr>
        <w:t>2、</w:t>
      </w:r>
      <w:bookmarkEnd w:id="141"/>
      <w:r>
        <w:rPr>
          <w:rFonts w:ascii="仿宋_GB2312" w:eastAsia="仿宋_GB2312" w:hAnsi="仿宋_GB2312" w:cs="仿宋_GB2312" w:hint="eastAsia"/>
          <w:sz w:val="32"/>
          <w:szCs w:val="32"/>
        </w:rPr>
        <w:t>资金落实</w:t>
      </w:r>
    </w:p>
    <w:p w:rsidR="00284621" w:rsidRDefault="00000000">
      <w:pPr>
        <w:spacing w:line="240" w:lineRule="auto"/>
        <w:ind w:firstLine="618"/>
        <w:rPr>
          <w:rFonts w:ascii="仿宋_GB2312" w:eastAsia="仿宋_GB2312" w:hAnsi="仿宋_GB2312" w:cs="仿宋_GB2312" w:hint="eastAsia"/>
          <w:spacing w:val="-3"/>
          <w:w w:val="99"/>
          <w:sz w:val="32"/>
          <w:szCs w:val="32"/>
        </w:rPr>
      </w:pPr>
      <w:bookmarkStart w:id="142" w:name="_Toc15587"/>
      <w:bookmarkStart w:id="143" w:name="_Toc22430"/>
      <w:r>
        <w:rPr>
          <w:rFonts w:ascii="仿宋_GB2312" w:eastAsia="仿宋_GB2312" w:hAnsi="仿宋_GB2312" w:cs="仿宋_GB2312" w:hint="eastAsia"/>
          <w:spacing w:val="-3"/>
          <w:w w:val="99"/>
          <w:sz w:val="32"/>
          <w:szCs w:val="32"/>
        </w:rPr>
        <w:lastRenderedPageBreak/>
        <w:t>（1）资金到位率</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指标分值5分，评价得分5分。2023年内蒙古经贸学校中央中职学生资助项目资金年初预算数19.88万元，均为财政拨款，资金到位率100%，故资金到位率不予扣分。</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（2）到位及时率</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指标分值5分，评价得分5分。2023年内蒙古经贸学校中央中职学生资助项目资金年初预算数19.88万元已全部到位，属于上年结转资金，到位及时率100%，故到位及时率不予扣分。</w:t>
      </w:r>
    </w:p>
    <w:p w:rsidR="00284621" w:rsidRDefault="00000000">
      <w:pPr>
        <w:spacing w:line="240" w:lineRule="auto"/>
        <w:ind w:firstLine="640"/>
        <w:outlineLvl w:val="1"/>
        <w:rPr>
          <w:rFonts w:ascii="楷体" w:eastAsia="楷体" w:hAnsi="楷体" w:cs="楷体" w:hint="eastAsia"/>
          <w:sz w:val="32"/>
          <w:szCs w:val="32"/>
        </w:rPr>
      </w:pPr>
      <w:r>
        <w:rPr>
          <w:rFonts w:ascii="楷体" w:eastAsia="楷体" w:hAnsi="楷体" w:cs="楷体" w:hint="eastAsia"/>
          <w:sz w:val="32"/>
          <w:szCs w:val="32"/>
        </w:rPr>
        <w:t>（二）项目过程</w:t>
      </w:r>
      <w:bookmarkEnd w:id="142"/>
      <w:bookmarkEnd w:id="143"/>
    </w:p>
    <w:p w:rsidR="00284621" w:rsidRDefault="00000000">
      <w:pPr>
        <w:spacing w:line="240" w:lineRule="auto"/>
        <w:ind w:firstLine="618"/>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32"/>
          <w:szCs w:val="32"/>
        </w:rPr>
        <w:t>项目过程从资金管理和组织实施进行评价，包括制度建立及执行情况、财务核算规范性、组织机构健全性及管理制度健全性。该项指标分值20分，评价得分20分，得分率100%，具体见表2：</w:t>
      </w:r>
    </w:p>
    <w:p w:rsidR="00284621" w:rsidRDefault="00000000">
      <w:pPr>
        <w:spacing w:beforeLines="50" w:before="156" w:line="240" w:lineRule="auto"/>
        <w:ind w:firstLineChars="0" w:firstLine="0"/>
        <w:jc w:val="center"/>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28"/>
          <w:szCs w:val="28"/>
        </w:rPr>
        <w:t>表2  中央中职学生资助项目过程得分表</w:t>
      </w:r>
    </w:p>
    <w:tbl>
      <w:tblPr>
        <w:tblW w:w="91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307"/>
        <w:gridCol w:w="2275"/>
        <w:gridCol w:w="1025"/>
        <w:gridCol w:w="962"/>
        <w:gridCol w:w="1175"/>
        <w:gridCol w:w="2363"/>
      </w:tblGrid>
      <w:tr w:rsidR="00284621">
        <w:trPr>
          <w:trHeight w:val="660"/>
        </w:trPr>
        <w:tc>
          <w:tcPr>
            <w:tcW w:w="1307"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bookmarkStart w:id="144" w:name="_Toc7745"/>
            <w:r>
              <w:rPr>
                <w:rFonts w:ascii="仿宋_GB2312" w:eastAsia="仿宋_GB2312" w:cs="仿宋_GB2312"/>
                <w:color w:val="000000"/>
                <w:kern w:val="0"/>
                <w:szCs w:val="24"/>
                <w:lang w:bidi="ar"/>
              </w:rPr>
              <w:t>二级指标</w:t>
            </w: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三级指标</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分值</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得分</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得分率</w:t>
            </w:r>
          </w:p>
        </w:tc>
        <w:tc>
          <w:tcPr>
            <w:tcW w:w="236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bCs/>
                <w:color w:val="000000"/>
                <w:szCs w:val="24"/>
              </w:rPr>
            </w:pPr>
            <w:r>
              <w:rPr>
                <w:rFonts w:ascii="仿宋_GB2312" w:eastAsia="仿宋_GB2312" w:cs="仿宋_GB2312"/>
                <w:color w:val="000000"/>
                <w:kern w:val="0"/>
                <w:szCs w:val="24"/>
                <w:lang w:bidi="ar"/>
              </w:rPr>
              <w:t>扣分原因</w:t>
            </w:r>
          </w:p>
        </w:tc>
      </w:tr>
      <w:tr w:rsidR="00284621">
        <w:trPr>
          <w:trHeight w:val="660"/>
        </w:trPr>
        <w:tc>
          <w:tcPr>
            <w:tcW w:w="130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资金管理</w:t>
            </w: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制度建立及执行情况</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tcBorders>
              <w:tl2br w:val="nil"/>
              <w:tr2bl w:val="nil"/>
            </w:tcBorders>
            <w:tcMar>
              <w:top w:w="10" w:type="dxa"/>
              <w:left w:w="10" w:type="dxa"/>
              <w:right w:w="10" w:type="dxa"/>
            </w:tcMar>
            <w:vAlign w:val="center"/>
          </w:tcPr>
          <w:p w:rsidR="00284621" w:rsidRDefault="00284621">
            <w:pPr>
              <w:spacing w:line="240" w:lineRule="auto"/>
              <w:ind w:firstLineChars="0" w:firstLine="0"/>
              <w:jc w:val="center"/>
              <w:rPr>
                <w:rFonts w:ascii="仿宋_GB2312" w:eastAsia="仿宋_GB2312" w:cs="仿宋_GB2312" w:hint="eastAsia"/>
                <w:color w:val="000000"/>
                <w:szCs w:val="24"/>
              </w:rPr>
            </w:pP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财务核算规范性</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组织实施</w:t>
            </w: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组织机构健全性</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spacing w:line="240" w:lineRule="auto"/>
              <w:ind w:firstLineChars="0" w:firstLine="0"/>
              <w:jc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r w:rsidR="00284621">
        <w:trPr>
          <w:trHeight w:val="660"/>
        </w:trPr>
        <w:tc>
          <w:tcPr>
            <w:tcW w:w="1307" w:type="dxa"/>
            <w:vMerge/>
            <w:tcBorders>
              <w:tl2br w:val="nil"/>
              <w:tr2bl w:val="nil"/>
            </w:tcBorders>
            <w:tcMar>
              <w:top w:w="10" w:type="dxa"/>
              <w:left w:w="10" w:type="dxa"/>
              <w:right w:w="10" w:type="dxa"/>
            </w:tcMar>
            <w:vAlign w:val="center"/>
          </w:tcPr>
          <w:p w:rsidR="00284621" w:rsidRDefault="00284621">
            <w:pPr>
              <w:spacing w:line="240" w:lineRule="auto"/>
              <w:ind w:firstLineChars="0" w:firstLine="0"/>
              <w:jc w:val="center"/>
              <w:rPr>
                <w:rFonts w:ascii="仿宋_GB2312" w:eastAsia="仿宋_GB2312" w:cs="仿宋_GB2312" w:hint="eastAsia"/>
                <w:color w:val="000000"/>
                <w:szCs w:val="24"/>
              </w:rPr>
            </w:pPr>
          </w:p>
        </w:tc>
        <w:tc>
          <w:tcPr>
            <w:tcW w:w="22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管理制度健全性</w:t>
            </w:r>
          </w:p>
        </w:tc>
        <w:tc>
          <w:tcPr>
            <w:tcW w:w="102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962"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5</w:t>
            </w:r>
          </w:p>
        </w:tc>
        <w:tc>
          <w:tcPr>
            <w:tcW w:w="1175"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36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szCs w:val="24"/>
              </w:rPr>
              <w:t>-</w:t>
            </w:r>
          </w:p>
        </w:tc>
      </w:tr>
    </w:tbl>
    <w:p w:rsidR="00284621" w:rsidRDefault="00000000">
      <w:pPr>
        <w:spacing w:line="240" w:lineRule="auto"/>
        <w:ind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1、资金</w:t>
      </w:r>
      <w:bookmarkEnd w:id="144"/>
      <w:r>
        <w:rPr>
          <w:rFonts w:ascii="仿宋_GB2312" w:eastAsia="仿宋_GB2312" w:hAnsi="仿宋_GB2312" w:cs="仿宋_GB2312" w:hint="eastAsia"/>
          <w:sz w:val="32"/>
          <w:szCs w:val="32"/>
        </w:rPr>
        <w:t>管理</w:t>
      </w:r>
    </w:p>
    <w:p w:rsidR="00284621" w:rsidRDefault="00000000">
      <w:pPr>
        <w:autoSpaceDE w:val="0"/>
        <w:autoSpaceDN w:val="0"/>
        <w:ind w:firstLine="640"/>
        <w:outlineLvl w:val="1"/>
        <w:rPr>
          <w:rFonts w:ascii="仿宋_GB2312" w:eastAsia="仿宋_GB2312" w:hAnsi="仿宋_GB2312" w:cs="仿宋_GB2312" w:hint="eastAsia"/>
          <w:sz w:val="32"/>
          <w:szCs w:val="32"/>
        </w:rPr>
      </w:pPr>
      <w:bookmarkStart w:id="145" w:name="_Toc7147"/>
      <w:bookmarkStart w:id="146" w:name="_Toc15923"/>
      <w:r>
        <w:rPr>
          <w:rFonts w:ascii="仿宋_GB2312" w:eastAsia="仿宋_GB2312" w:hAnsi="仿宋_GB2312" w:cs="仿宋_GB2312" w:hint="eastAsia"/>
          <w:sz w:val="32"/>
          <w:szCs w:val="32"/>
        </w:rPr>
        <w:t>（1）</w:t>
      </w:r>
      <w:bookmarkEnd w:id="145"/>
      <w:bookmarkEnd w:id="146"/>
      <w:r>
        <w:rPr>
          <w:rFonts w:ascii="仿宋_GB2312" w:eastAsia="仿宋_GB2312" w:hAnsi="仿宋_GB2312" w:cs="仿宋_GB2312" w:hint="eastAsia"/>
          <w:sz w:val="32"/>
          <w:szCs w:val="32"/>
        </w:rPr>
        <w:t>制度建立及执行情况</w:t>
      </w:r>
    </w:p>
    <w:p w:rsidR="00284621" w:rsidRDefault="00000000">
      <w:pPr>
        <w:autoSpaceDE w:val="0"/>
        <w:autoSpaceDN w:val="0"/>
        <w:ind w:firstLine="640"/>
        <w:outlineLvl w:val="1"/>
        <w:rPr>
          <w:rFonts w:ascii="仿宋_GB2312" w:eastAsia="仿宋_GB2312" w:hAnsi="仿宋_GB2312" w:cs="仿宋_GB2312" w:hint="eastAsia"/>
          <w:sz w:val="32"/>
          <w:szCs w:val="32"/>
        </w:rPr>
      </w:pPr>
      <w:bookmarkStart w:id="147" w:name="_Toc28036"/>
      <w:bookmarkStart w:id="148" w:name="_Toc22957"/>
      <w:r>
        <w:rPr>
          <w:rFonts w:ascii="仿宋_GB2312" w:eastAsia="仿宋_GB2312" w:hAnsi="仿宋_GB2312" w:cs="仿宋_GB2312" w:hint="eastAsia"/>
          <w:sz w:val="32"/>
          <w:szCs w:val="32"/>
        </w:rPr>
        <w:lastRenderedPageBreak/>
        <w:t>指标分值5分，评价得分5分。</w:t>
      </w:r>
      <w:bookmarkEnd w:id="147"/>
      <w:bookmarkEnd w:id="148"/>
      <w:r>
        <w:rPr>
          <w:rFonts w:ascii="仿宋_GB2312" w:eastAsia="仿宋_GB2312" w:hAnsi="仿宋_GB2312" w:cs="仿宋_GB2312" w:hint="eastAsia"/>
          <w:sz w:val="32"/>
          <w:szCs w:val="32"/>
        </w:rPr>
        <w:t>2023年内蒙古经贸学校针对</w:t>
      </w:r>
      <w:r>
        <w:rPr>
          <w:rFonts w:ascii="仿宋_GB2312" w:eastAsia="仿宋_GB2312" w:hAnsi="仿宋_GB2312" w:cs="仿宋_GB2312" w:hint="eastAsia"/>
          <w:spacing w:val="-3"/>
          <w:w w:val="99"/>
          <w:sz w:val="32"/>
          <w:szCs w:val="32"/>
        </w:rPr>
        <w:t>中央中职学生资助项目</w:t>
      </w:r>
      <w:r>
        <w:rPr>
          <w:rFonts w:ascii="仿宋_GB2312" w:eastAsia="仿宋_GB2312" w:hAnsi="仿宋_GB2312" w:cs="仿宋_GB2312" w:hint="eastAsia"/>
          <w:sz w:val="32"/>
          <w:szCs w:val="32"/>
        </w:rPr>
        <w:t>的具体实际情况建立完善的项目资金管理制度并严格按资金管理制度执行，故制度建立及执行情况不予扣分。</w:t>
      </w:r>
    </w:p>
    <w:p w:rsidR="00284621" w:rsidRDefault="00000000">
      <w:pPr>
        <w:spacing w:line="240" w:lineRule="auto"/>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（2）财务核算规范性</w:t>
      </w:r>
    </w:p>
    <w:p w:rsidR="00284621" w:rsidRDefault="00000000">
      <w:pPr>
        <w:spacing w:line="240" w:lineRule="auto"/>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指标分值5分，评价得分5分。经查阅内蒙古经贸学校会计凭证，实施主体按照政府会计制度要求进行会计核算，资金使用规范，故资金使用规范性不予扣分。</w:t>
      </w:r>
    </w:p>
    <w:p w:rsidR="00284621" w:rsidRDefault="00000000">
      <w:pPr>
        <w:spacing w:line="240" w:lineRule="auto"/>
        <w:ind w:firstLine="640"/>
        <w:outlineLvl w:val="2"/>
        <w:rPr>
          <w:rFonts w:ascii="仿宋_GB2312" w:eastAsia="仿宋_GB2312" w:hAnsi="仿宋_GB2312" w:cs="仿宋_GB2312" w:hint="eastAsia"/>
          <w:sz w:val="32"/>
          <w:szCs w:val="32"/>
        </w:rPr>
      </w:pPr>
      <w:bookmarkStart w:id="149" w:name="_Toc32513"/>
      <w:r>
        <w:rPr>
          <w:rFonts w:ascii="仿宋_GB2312" w:eastAsia="仿宋_GB2312" w:hAnsi="仿宋_GB2312" w:cs="仿宋_GB2312" w:hint="eastAsia"/>
          <w:sz w:val="32"/>
          <w:szCs w:val="32"/>
        </w:rPr>
        <w:t>2、</w:t>
      </w:r>
      <w:bookmarkEnd w:id="149"/>
      <w:r>
        <w:rPr>
          <w:rFonts w:ascii="仿宋_GB2312" w:eastAsia="仿宋_GB2312" w:hAnsi="仿宋_GB2312" w:cs="仿宋_GB2312" w:hint="eastAsia"/>
          <w:sz w:val="32"/>
          <w:szCs w:val="32"/>
        </w:rPr>
        <w:t>组织实施</w:t>
      </w:r>
    </w:p>
    <w:p w:rsidR="00284621" w:rsidRDefault="00000000">
      <w:pPr>
        <w:spacing w:line="240" w:lineRule="auto"/>
        <w:ind w:firstLine="618"/>
        <w:rPr>
          <w:rFonts w:ascii="仿宋_GB2312" w:eastAsia="仿宋_GB2312" w:hAnsi="仿宋_GB2312" w:cs="仿宋_GB2312" w:hint="eastAsia"/>
          <w:spacing w:val="-3"/>
          <w:w w:val="99"/>
          <w:sz w:val="32"/>
          <w:szCs w:val="32"/>
          <w:highlight w:val="yellow"/>
        </w:rPr>
      </w:pPr>
      <w:r>
        <w:rPr>
          <w:rFonts w:ascii="仿宋_GB2312" w:eastAsia="仿宋_GB2312" w:hAnsi="仿宋_GB2312" w:cs="仿宋_GB2312" w:hint="eastAsia"/>
          <w:spacing w:val="-3"/>
          <w:w w:val="99"/>
          <w:sz w:val="32"/>
          <w:szCs w:val="32"/>
        </w:rPr>
        <w:t>（1）组织机构健全性</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指标分值5分，评价得分5分。内蒙古经贸学校建立了健全的组织机构，各部门负责人员分工明确，工作过程中能够发挥各部门职能，故组织机构健全性不予扣分。</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（2）管理制度健全性</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指标分值5分，评价得分5分。经查阅内蒙古经贸学校项目资料，实施主体制定了项目管理制度，故管理制度健全性不予扣分。</w:t>
      </w:r>
    </w:p>
    <w:p w:rsidR="00284621" w:rsidRDefault="00000000">
      <w:pPr>
        <w:spacing w:line="240" w:lineRule="auto"/>
        <w:ind w:firstLine="640"/>
        <w:outlineLvl w:val="1"/>
        <w:rPr>
          <w:rFonts w:ascii="楷体" w:eastAsia="楷体" w:hAnsi="楷体" w:cs="楷体" w:hint="eastAsia"/>
          <w:sz w:val="32"/>
          <w:szCs w:val="32"/>
        </w:rPr>
      </w:pPr>
      <w:bookmarkStart w:id="150" w:name="_Toc3058"/>
      <w:bookmarkStart w:id="151" w:name="_Toc7467"/>
      <w:r>
        <w:rPr>
          <w:rFonts w:ascii="楷体" w:eastAsia="楷体" w:hAnsi="楷体" w:cs="楷体" w:hint="eastAsia"/>
          <w:sz w:val="32"/>
          <w:szCs w:val="32"/>
        </w:rPr>
        <w:t>（三）项目产出方面</w:t>
      </w:r>
      <w:bookmarkEnd w:id="150"/>
      <w:bookmarkEnd w:id="151"/>
    </w:p>
    <w:p w:rsidR="00284621" w:rsidRDefault="00000000">
      <w:pPr>
        <w:spacing w:line="240" w:lineRule="auto"/>
        <w:ind w:firstLine="618"/>
        <w:rPr>
          <w:rFonts w:hint="eastAsia"/>
        </w:rPr>
      </w:pPr>
      <w:bookmarkStart w:id="152" w:name="_Toc21950"/>
      <w:bookmarkStart w:id="153" w:name="_Toc8445"/>
      <w:bookmarkStart w:id="154" w:name="_Toc23194"/>
      <w:bookmarkStart w:id="155" w:name="_Toc20034"/>
      <w:r>
        <w:rPr>
          <w:rFonts w:ascii="仿宋_GB2312" w:eastAsia="仿宋_GB2312" w:hAnsi="仿宋_GB2312" w:cs="仿宋_GB2312" w:hint="eastAsia"/>
          <w:spacing w:val="-3"/>
          <w:w w:val="99"/>
          <w:sz w:val="32"/>
          <w:szCs w:val="32"/>
        </w:rPr>
        <w:t>项目绩效从产出数量、产出质量、产出时效及产出成本进行评价，包括免学费应受助学生人数、国家奖学金受助人数、免学费应受助学生享受资助比例、国家奖学金受助学生享受资助比例、中央中职学生资助工作执行进度、政策落实及时性、</w:t>
      </w:r>
      <w:r>
        <w:rPr>
          <w:rFonts w:ascii="仿宋_GB2312" w:eastAsia="仿宋_GB2312" w:hAnsi="仿宋_GB2312" w:cs="仿宋_GB2312" w:hint="eastAsia"/>
          <w:spacing w:val="-3"/>
          <w:w w:val="99"/>
          <w:sz w:val="32"/>
          <w:szCs w:val="32"/>
        </w:rPr>
        <w:lastRenderedPageBreak/>
        <w:t>预算控制数、补贴资金支出率。该项指标分值30分，评价得分30分，得分率100%，具体见表3：</w:t>
      </w:r>
    </w:p>
    <w:p w:rsidR="00284621" w:rsidRDefault="00000000">
      <w:pPr>
        <w:spacing w:beforeLines="50" w:before="156" w:line="240" w:lineRule="auto"/>
        <w:ind w:firstLineChars="0" w:firstLine="0"/>
        <w:jc w:val="center"/>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28"/>
          <w:szCs w:val="28"/>
        </w:rPr>
        <w:t>表3  中央中职学生资助项目产出方面得分表</w:t>
      </w:r>
    </w:p>
    <w:tbl>
      <w:tblPr>
        <w:tblW w:w="908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097"/>
        <w:gridCol w:w="2573"/>
        <w:gridCol w:w="758"/>
        <w:gridCol w:w="734"/>
        <w:gridCol w:w="1241"/>
        <w:gridCol w:w="2684"/>
      </w:tblGrid>
      <w:tr w:rsidR="00284621">
        <w:trPr>
          <w:trHeight w:val="660"/>
        </w:trPr>
        <w:tc>
          <w:tcPr>
            <w:tcW w:w="1097"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 w:eastAsia="仿宋" w:hAnsi="仿宋" w:cs="仿宋" w:hint="eastAsia"/>
                <w:bCs/>
                <w:color w:val="000000"/>
                <w:szCs w:val="24"/>
              </w:rPr>
            </w:pPr>
            <w:r>
              <w:rPr>
                <w:rFonts w:ascii="仿宋" w:eastAsia="仿宋" w:hAnsi="仿宋" w:cs="仿宋" w:hint="eastAsia"/>
                <w:color w:val="000000"/>
                <w:kern w:val="0"/>
                <w:szCs w:val="24"/>
                <w:lang w:bidi="ar"/>
              </w:rPr>
              <w:t>二级指标</w:t>
            </w: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 w:eastAsia="仿宋" w:hAnsi="仿宋" w:cs="仿宋" w:hint="eastAsia"/>
                <w:bCs/>
                <w:color w:val="000000"/>
                <w:szCs w:val="24"/>
              </w:rPr>
            </w:pPr>
            <w:r>
              <w:rPr>
                <w:rFonts w:ascii="仿宋" w:eastAsia="仿宋" w:hAnsi="仿宋" w:cs="仿宋" w:hint="eastAsia"/>
                <w:color w:val="000000"/>
                <w:kern w:val="0"/>
                <w:szCs w:val="24"/>
                <w:lang w:bidi="ar"/>
              </w:rPr>
              <w:t>三级指标</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 w:eastAsia="仿宋" w:hAnsi="仿宋" w:cs="仿宋" w:hint="eastAsia"/>
                <w:bCs/>
                <w:color w:val="000000"/>
                <w:szCs w:val="24"/>
              </w:rPr>
            </w:pPr>
            <w:r>
              <w:rPr>
                <w:rFonts w:ascii="仿宋" w:eastAsia="仿宋" w:hAnsi="仿宋" w:cs="仿宋" w:hint="eastAsia"/>
                <w:color w:val="000000"/>
                <w:kern w:val="0"/>
                <w:szCs w:val="24"/>
                <w:lang w:bidi="ar"/>
              </w:rPr>
              <w:t>分值</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 w:eastAsia="仿宋" w:hAnsi="仿宋" w:cs="仿宋" w:hint="eastAsia"/>
                <w:bCs/>
                <w:color w:val="000000"/>
                <w:szCs w:val="24"/>
              </w:rPr>
            </w:pPr>
            <w:r>
              <w:rPr>
                <w:rFonts w:ascii="仿宋" w:eastAsia="仿宋" w:hAnsi="仿宋" w:cs="仿宋" w:hint="eastAsia"/>
                <w:color w:val="000000"/>
                <w:kern w:val="0"/>
                <w:szCs w:val="24"/>
                <w:lang w:bidi="ar"/>
              </w:rPr>
              <w:t>得分</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 w:eastAsia="仿宋" w:hAnsi="仿宋" w:cs="仿宋" w:hint="eastAsia"/>
                <w:bCs/>
                <w:color w:val="000000"/>
                <w:szCs w:val="24"/>
              </w:rPr>
            </w:pPr>
            <w:r>
              <w:rPr>
                <w:rFonts w:ascii="仿宋" w:eastAsia="仿宋" w:hAnsi="仿宋" w:cs="仿宋" w:hint="eastAsia"/>
                <w:color w:val="000000"/>
                <w:kern w:val="0"/>
                <w:szCs w:val="24"/>
                <w:lang w:bidi="ar"/>
              </w:rPr>
              <w:t>得分率</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 w:eastAsia="仿宋" w:hAnsi="仿宋" w:cs="仿宋" w:hint="eastAsia"/>
                <w:bCs/>
                <w:color w:val="000000"/>
                <w:szCs w:val="24"/>
              </w:rPr>
            </w:pPr>
            <w:r>
              <w:rPr>
                <w:rFonts w:ascii="仿宋" w:eastAsia="仿宋" w:hAnsi="仿宋" w:cs="仿宋" w:hint="eastAsia"/>
                <w:color w:val="000000"/>
                <w:kern w:val="0"/>
                <w:szCs w:val="24"/>
                <w:lang w:bidi="ar"/>
              </w:rPr>
              <w:t>扣分原因</w:t>
            </w:r>
          </w:p>
        </w:tc>
      </w:tr>
      <w:tr w:rsidR="00284621">
        <w:trPr>
          <w:trHeight w:val="660"/>
        </w:trPr>
        <w:tc>
          <w:tcPr>
            <w:tcW w:w="109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bookmarkStart w:id="156" w:name="_Toc9948"/>
            <w:r>
              <w:rPr>
                <w:rFonts w:ascii="仿宋_GB2312" w:eastAsia="仿宋_GB2312" w:cs="仿宋_GB2312" w:hint="eastAsia"/>
                <w:color w:val="000000"/>
                <w:kern w:val="0"/>
                <w:szCs w:val="24"/>
                <w:lang w:bidi="ar"/>
              </w:rPr>
              <w:t>产出数量</w:t>
            </w: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免学费应受助学生人数</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tcBorders>
              <w:tl2br w:val="nil"/>
              <w:tr2bl w:val="nil"/>
            </w:tcBorders>
            <w:tcMar>
              <w:top w:w="10" w:type="dxa"/>
              <w:left w:w="10" w:type="dxa"/>
              <w:right w:w="10" w:type="dxa"/>
            </w:tcMar>
            <w:vAlign w:val="center"/>
          </w:tcPr>
          <w:p w:rsidR="00284621" w:rsidRDefault="00284621">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国家奖学金受助人数</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产出质量</w:t>
            </w: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免学费应受助学生享受资助比例</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tcBorders>
              <w:tl2br w:val="nil"/>
              <w:tr2bl w:val="nil"/>
            </w:tcBorders>
            <w:tcMar>
              <w:top w:w="10" w:type="dxa"/>
              <w:left w:w="10" w:type="dxa"/>
              <w:right w:w="10" w:type="dxa"/>
            </w:tcMar>
            <w:vAlign w:val="center"/>
          </w:tcPr>
          <w:p w:rsidR="00284621" w:rsidRDefault="00284621">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国家奖学金受助学生享受资助比例</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产出时效</w:t>
            </w: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中央中职学生资助工作执行进度</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tcBorders>
              <w:tl2br w:val="nil"/>
              <w:tr2bl w:val="nil"/>
            </w:tcBorders>
            <w:tcMar>
              <w:top w:w="10" w:type="dxa"/>
              <w:left w:w="10" w:type="dxa"/>
              <w:right w:w="10" w:type="dxa"/>
            </w:tcMar>
            <w:vAlign w:val="center"/>
          </w:tcPr>
          <w:p w:rsidR="00284621" w:rsidRDefault="00284621">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政策落实及时性</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3</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val="restart"/>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产出成本</w:t>
            </w: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预算控制数</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6</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6</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660"/>
        </w:trPr>
        <w:tc>
          <w:tcPr>
            <w:tcW w:w="1097" w:type="dxa"/>
            <w:vMerge/>
            <w:tcBorders>
              <w:tl2br w:val="nil"/>
              <w:tr2bl w:val="nil"/>
            </w:tcBorders>
            <w:tcMar>
              <w:top w:w="10" w:type="dxa"/>
              <w:left w:w="10" w:type="dxa"/>
              <w:right w:w="10" w:type="dxa"/>
            </w:tcMar>
            <w:vAlign w:val="center"/>
          </w:tcPr>
          <w:p w:rsidR="00284621" w:rsidRDefault="00284621">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p>
        </w:tc>
        <w:tc>
          <w:tcPr>
            <w:tcW w:w="2573"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补贴资金支出率</w:t>
            </w:r>
          </w:p>
        </w:tc>
        <w:tc>
          <w:tcPr>
            <w:tcW w:w="758"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6</w:t>
            </w:r>
          </w:p>
        </w:tc>
        <w:tc>
          <w:tcPr>
            <w:tcW w:w="73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6</w:t>
            </w:r>
          </w:p>
        </w:tc>
        <w:tc>
          <w:tcPr>
            <w:tcW w:w="1241"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100</w:t>
            </w:r>
            <w:r>
              <w:rPr>
                <w:rFonts w:ascii="仿宋_GB2312" w:eastAsia="仿宋_GB2312" w:cs="仿宋_GB2312"/>
                <w:color w:val="000000"/>
                <w:kern w:val="0"/>
                <w:szCs w:val="24"/>
                <w:lang w:bidi="ar"/>
              </w:rPr>
              <w:t>%</w:t>
            </w:r>
          </w:p>
        </w:tc>
        <w:tc>
          <w:tcPr>
            <w:tcW w:w="2684" w:type="dxa"/>
            <w:tcBorders>
              <w:tl2br w:val="nil"/>
              <w:tr2bl w:val="nil"/>
            </w:tcBorders>
            <w:tcMar>
              <w:top w:w="10" w:type="dxa"/>
              <w:left w:w="10" w:type="dxa"/>
              <w:right w:w="10" w:type="dxa"/>
            </w:tcMar>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bl>
    <w:bookmarkEnd w:id="156"/>
    <w:p w:rsidR="00284621" w:rsidRDefault="00000000">
      <w:pPr>
        <w:numPr>
          <w:ilvl w:val="0"/>
          <w:numId w:val="4"/>
        </w:numPr>
        <w:spacing w:line="240" w:lineRule="auto"/>
        <w:ind w:firstLine="618"/>
        <w:outlineLvl w:val="2"/>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产出数量</w:t>
      </w:r>
      <w:bookmarkEnd w:id="152"/>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57" w:name="_Toc7242"/>
      <w:bookmarkStart w:id="158" w:name="_Toc14243"/>
      <w:bookmarkStart w:id="159" w:name="_Toc24180"/>
      <w:bookmarkEnd w:id="153"/>
      <w:bookmarkEnd w:id="154"/>
      <w:r>
        <w:rPr>
          <w:rFonts w:ascii="仿宋_GB2312" w:eastAsia="仿宋_GB2312" w:hAnsi="仿宋_GB2312" w:cs="仿宋_GB2312" w:hint="eastAsia"/>
          <w:spacing w:val="-3"/>
          <w:w w:val="99"/>
          <w:sz w:val="32"/>
          <w:szCs w:val="32"/>
        </w:rPr>
        <w:t>（1）免学费应受助学生人数</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指标分值3分，评价得分3分。2023年内蒙古经贸学校享受免学费应受助学生人数996人，实际完成996人，完成目标任务，完成率100%，故免学费应受助学生人数不予扣分。</w:t>
      </w:r>
      <w:bookmarkEnd w:id="157"/>
      <w:bookmarkEnd w:id="158"/>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60" w:name="_Toc846"/>
      <w:r>
        <w:rPr>
          <w:rFonts w:ascii="仿宋_GB2312" w:eastAsia="仿宋_GB2312" w:hAnsi="仿宋_GB2312" w:cs="仿宋_GB2312" w:hint="eastAsia"/>
          <w:spacing w:val="-3"/>
          <w:w w:val="99"/>
          <w:sz w:val="32"/>
          <w:szCs w:val="32"/>
        </w:rPr>
        <w:t>（2）国家奖学金受助人数</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指标分值3分，评价得分3分。2023年内蒙古经贸学校享受国家奖学金受助人数3人，实际完成3人，完成目标任务，完成率100%，故国家奖学金受助人数不予扣分。</w:t>
      </w:r>
    </w:p>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lastRenderedPageBreak/>
        <w:t>2、</w:t>
      </w:r>
      <w:bookmarkEnd w:id="159"/>
      <w:r>
        <w:rPr>
          <w:rFonts w:ascii="仿宋_GB2312" w:eastAsia="仿宋_GB2312" w:hAnsi="仿宋_GB2312" w:cs="仿宋_GB2312" w:hint="eastAsia"/>
          <w:spacing w:val="-3"/>
          <w:w w:val="99"/>
          <w:sz w:val="32"/>
          <w:szCs w:val="32"/>
        </w:rPr>
        <w:t>产出质量</w:t>
      </w:r>
      <w:bookmarkEnd w:id="160"/>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（1）免学费应受助学生享受资助比例</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61" w:name="_Toc18196"/>
      <w:bookmarkStart w:id="162" w:name="_Toc6043"/>
      <w:r>
        <w:rPr>
          <w:rFonts w:ascii="仿宋_GB2312" w:eastAsia="仿宋_GB2312" w:hAnsi="仿宋_GB2312" w:cs="仿宋_GB2312" w:hint="eastAsia"/>
          <w:spacing w:val="-3"/>
          <w:w w:val="99"/>
          <w:sz w:val="32"/>
          <w:szCs w:val="32"/>
        </w:rPr>
        <w:t>指标分值3分，评价得分3分。</w:t>
      </w:r>
      <w:bookmarkStart w:id="163" w:name="_Toc12064"/>
      <w:bookmarkStart w:id="164" w:name="_Toc6546"/>
      <w:bookmarkStart w:id="165" w:name="_Toc27864"/>
      <w:bookmarkEnd w:id="161"/>
      <w:bookmarkEnd w:id="162"/>
      <w:r>
        <w:rPr>
          <w:rFonts w:ascii="仿宋_GB2312" w:eastAsia="仿宋_GB2312" w:hAnsi="仿宋_GB2312" w:cs="仿宋_GB2312" w:hint="eastAsia"/>
          <w:spacing w:val="-3"/>
          <w:w w:val="99"/>
          <w:sz w:val="32"/>
          <w:szCs w:val="32"/>
        </w:rPr>
        <w:t>2023年内蒙古经贸学校预期免学费应受助学生享受资助比例100%，实际完成目标任务，故免学费应受助学生享受资助比例不予扣分。</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（2）</w:t>
      </w:r>
      <w:bookmarkEnd w:id="163"/>
      <w:bookmarkEnd w:id="164"/>
      <w:r>
        <w:rPr>
          <w:rFonts w:ascii="仿宋_GB2312" w:eastAsia="仿宋_GB2312" w:hAnsi="仿宋_GB2312" w:cs="仿宋_GB2312" w:hint="eastAsia"/>
          <w:spacing w:val="-3"/>
          <w:w w:val="99"/>
          <w:sz w:val="32"/>
          <w:szCs w:val="32"/>
        </w:rPr>
        <w:t>国家奖学金受助学生享受资助比例</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66" w:name="_Toc6753"/>
      <w:r>
        <w:rPr>
          <w:rFonts w:ascii="仿宋_GB2312" w:eastAsia="仿宋_GB2312" w:hAnsi="仿宋_GB2312" w:cs="仿宋_GB2312" w:hint="eastAsia"/>
          <w:spacing w:val="-3"/>
          <w:w w:val="99"/>
          <w:sz w:val="32"/>
          <w:szCs w:val="32"/>
        </w:rPr>
        <w:t>指标分值3分，评价得分3分。2023年内蒙古经贸学校预期国家奖学金受助学生享受资助比例达到100%，实际完成目标任务，故国家奖学金受助学生享受资助比例不予扣分。</w:t>
      </w:r>
    </w:p>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3</w:t>
      </w:r>
      <w:bookmarkEnd w:id="165"/>
      <w:r>
        <w:rPr>
          <w:rFonts w:ascii="仿宋_GB2312" w:eastAsia="仿宋_GB2312" w:hAnsi="仿宋_GB2312" w:cs="仿宋_GB2312" w:hint="eastAsia"/>
          <w:spacing w:val="-3"/>
          <w:w w:val="99"/>
          <w:sz w:val="32"/>
          <w:szCs w:val="32"/>
        </w:rPr>
        <w:t>、产出时效</w:t>
      </w:r>
      <w:bookmarkEnd w:id="166"/>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67" w:name="_Toc13971"/>
      <w:bookmarkStart w:id="168" w:name="_Toc17197"/>
      <w:r>
        <w:rPr>
          <w:rFonts w:ascii="仿宋_GB2312" w:eastAsia="仿宋_GB2312" w:hAnsi="仿宋_GB2312" w:cs="仿宋_GB2312" w:hint="eastAsia"/>
          <w:spacing w:val="-3"/>
          <w:w w:val="99"/>
          <w:sz w:val="32"/>
          <w:szCs w:val="32"/>
        </w:rPr>
        <w:t>（1）中央中职学生资助工作执行进度</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指标分值3分，评价得分3分。</w:t>
      </w:r>
      <w:bookmarkStart w:id="169" w:name="_Toc17438"/>
      <w:bookmarkEnd w:id="167"/>
      <w:bookmarkEnd w:id="168"/>
      <w:r>
        <w:rPr>
          <w:rFonts w:ascii="仿宋_GB2312" w:eastAsia="仿宋_GB2312" w:hAnsi="仿宋_GB2312" w:cs="仿宋_GB2312" w:hint="eastAsia"/>
          <w:spacing w:val="-3"/>
          <w:w w:val="99"/>
          <w:sz w:val="32"/>
          <w:szCs w:val="32"/>
        </w:rPr>
        <w:t>2023年内蒙古经贸学校预期中央中职学生资助工作执行进度达到100%，实际完成目标任务，故中央中职学生资助工作执行进度不予扣分。</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（2）政策落实及时性</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指标分值3分，评价得分3分。经查看2023年内蒙古经贸学校项目档案资料，政策落实及时，故政策落实及时性不予扣分。</w:t>
      </w:r>
    </w:p>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4、产出成本</w:t>
      </w:r>
      <w:bookmarkEnd w:id="169"/>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（1）预算控制数</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指标分值6分，评价得分6分。经查看经贸学校项目自评表和预决算表，项目预算资金19.88万元，实际支出19.88万</w:t>
      </w:r>
      <w:r>
        <w:rPr>
          <w:rFonts w:ascii="仿宋_GB2312" w:eastAsia="仿宋_GB2312" w:hAnsi="仿宋_GB2312" w:cs="仿宋_GB2312" w:hint="eastAsia"/>
          <w:spacing w:val="-3"/>
          <w:w w:val="99"/>
          <w:sz w:val="32"/>
          <w:szCs w:val="32"/>
        </w:rPr>
        <w:lastRenderedPageBreak/>
        <w:t>元，未超出项目预算资金，故预算控制数不予扣分。</w:t>
      </w:r>
    </w:p>
    <w:p w:rsidR="00284621" w:rsidRDefault="00000000">
      <w:pPr>
        <w:spacing w:line="240" w:lineRule="auto"/>
        <w:ind w:firstLine="618"/>
        <w:rPr>
          <w:rFonts w:ascii="仿宋_GB2312" w:eastAsia="仿宋_GB2312" w:hAnsi="仿宋_GB2312" w:cs="仿宋_GB2312" w:hint="eastAsia"/>
          <w:spacing w:val="-3"/>
          <w:w w:val="99"/>
          <w:sz w:val="32"/>
          <w:szCs w:val="32"/>
        </w:rPr>
      </w:pPr>
      <w:bookmarkStart w:id="170" w:name="_Toc25408"/>
      <w:bookmarkStart w:id="171" w:name="_Toc2197"/>
      <w:r>
        <w:rPr>
          <w:rFonts w:ascii="仿宋_GB2312" w:eastAsia="仿宋_GB2312" w:hAnsi="仿宋_GB2312" w:cs="仿宋_GB2312" w:hint="eastAsia"/>
          <w:spacing w:val="-3"/>
          <w:w w:val="99"/>
          <w:sz w:val="32"/>
          <w:szCs w:val="32"/>
        </w:rPr>
        <w:t>（2）补贴资金支出率</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指标分值6分，评价得分5分。经查看项目实施方案、预决算表及项目自评表，项目预算资金19.88万元，实际支出19.88万元，资金支出率为100%，故补贴资金支出率扣1分。</w:t>
      </w:r>
    </w:p>
    <w:p w:rsidR="00284621" w:rsidRDefault="00000000">
      <w:pPr>
        <w:spacing w:line="240" w:lineRule="auto"/>
        <w:ind w:firstLine="640"/>
        <w:outlineLvl w:val="1"/>
        <w:rPr>
          <w:rFonts w:ascii="楷体" w:eastAsia="楷体" w:hAnsi="楷体" w:cs="楷体" w:hint="eastAsia"/>
          <w:sz w:val="32"/>
          <w:szCs w:val="32"/>
        </w:rPr>
      </w:pPr>
      <w:r>
        <w:rPr>
          <w:rFonts w:ascii="楷体" w:eastAsia="楷体" w:hAnsi="楷体" w:cs="楷体" w:hint="eastAsia"/>
          <w:sz w:val="32"/>
          <w:szCs w:val="32"/>
        </w:rPr>
        <w:t>（四）项目</w:t>
      </w:r>
      <w:bookmarkEnd w:id="170"/>
      <w:bookmarkEnd w:id="171"/>
      <w:r>
        <w:rPr>
          <w:rFonts w:ascii="楷体" w:eastAsia="楷体" w:hAnsi="楷体" w:cs="楷体" w:hint="eastAsia"/>
          <w:sz w:val="32"/>
          <w:szCs w:val="32"/>
        </w:rPr>
        <w:t>效益</w:t>
      </w:r>
    </w:p>
    <w:p w:rsidR="00284621" w:rsidRDefault="00000000">
      <w:pPr>
        <w:spacing w:line="240" w:lineRule="auto"/>
        <w:ind w:firstLine="618"/>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32"/>
          <w:szCs w:val="32"/>
        </w:rPr>
        <w:t>项目效益从社会效益、可持续影响及服务对象满意度进行评价，包括因家庭困难辍学率、中职学生就业效果、本校提升中职教育吸引力、学生以及家长的满意程度。该项指标分值30分，评价得分26分，得分率86.66%，具体见表4：</w:t>
      </w:r>
    </w:p>
    <w:p w:rsidR="00284621" w:rsidRDefault="00000000">
      <w:pPr>
        <w:spacing w:beforeLines="50" w:before="156" w:line="240" w:lineRule="auto"/>
        <w:ind w:firstLineChars="0" w:firstLine="0"/>
        <w:jc w:val="center"/>
        <w:rPr>
          <w:rFonts w:ascii="仿宋_GB2312" w:eastAsia="仿宋_GB2312" w:hAnsi="仿宋_GB2312" w:cs="仿宋_GB2312" w:hint="eastAsia"/>
          <w:spacing w:val="-3"/>
          <w:w w:val="99"/>
          <w:sz w:val="28"/>
          <w:szCs w:val="28"/>
        </w:rPr>
      </w:pPr>
      <w:r>
        <w:rPr>
          <w:rFonts w:ascii="仿宋_GB2312" w:eastAsia="仿宋_GB2312" w:hAnsi="仿宋_GB2312" w:cs="仿宋_GB2312" w:hint="eastAsia"/>
          <w:spacing w:val="-3"/>
          <w:w w:val="99"/>
          <w:sz w:val="28"/>
          <w:szCs w:val="28"/>
        </w:rPr>
        <w:t>表4  中央中职学生资助项目效益得分表</w:t>
      </w:r>
    </w:p>
    <w:tbl>
      <w:tblPr>
        <w:tblW w:w="9076" w:type="dxa"/>
        <w:tblInd w:w="1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276"/>
        <w:gridCol w:w="1875"/>
        <w:gridCol w:w="934"/>
        <w:gridCol w:w="866"/>
        <w:gridCol w:w="959"/>
        <w:gridCol w:w="3166"/>
      </w:tblGrid>
      <w:tr w:rsidR="00284621">
        <w:trPr>
          <w:trHeight w:val="630"/>
        </w:trPr>
        <w:tc>
          <w:tcPr>
            <w:tcW w:w="1276" w:type="dxa"/>
            <w:tcBorders>
              <w:tl2br w:val="nil"/>
              <w:tr2bl w:val="nil"/>
            </w:tcBorders>
            <w:vAlign w:val="center"/>
          </w:tcPr>
          <w:p w:rsidR="00284621" w:rsidRDefault="00000000">
            <w:pPr>
              <w:widowControl/>
              <w:spacing w:line="240" w:lineRule="auto"/>
              <w:ind w:firstLineChars="0" w:firstLine="0"/>
              <w:jc w:val="center"/>
              <w:textAlignment w:val="center"/>
              <w:rPr>
                <w:rFonts w:ascii="仿宋" w:eastAsia="仿宋" w:hAnsi="仿宋" w:cs="仿宋" w:hint="eastAsia"/>
                <w:color w:val="000000"/>
                <w:szCs w:val="24"/>
              </w:rPr>
            </w:pPr>
            <w:bookmarkStart w:id="172" w:name="_Toc9264"/>
            <w:r>
              <w:rPr>
                <w:rFonts w:ascii="仿宋" w:eastAsia="仿宋" w:hAnsi="仿宋" w:cs="仿宋" w:hint="eastAsia"/>
                <w:color w:val="000000"/>
                <w:kern w:val="0"/>
                <w:szCs w:val="24"/>
                <w:lang w:bidi="ar"/>
              </w:rPr>
              <w:t>二级指标</w:t>
            </w:r>
          </w:p>
        </w:tc>
        <w:tc>
          <w:tcPr>
            <w:tcW w:w="1875" w:type="dxa"/>
            <w:tcBorders>
              <w:tl2br w:val="nil"/>
              <w:tr2bl w:val="nil"/>
            </w:tcBorders>
            <w:vAlign w:val="center"/>
          </w:tcPr>
          <w:p w:rsidR="00284621" w:rsidRDefault="00000000">
            <w:pPr>
              <w:widowControl/>
              <w:spacing w:line="240" w:lineRule="auto"/>
              <w:ind w:firstLineChars="0" w:firstLine="0"/>
              <w:jc w:val="center"/>
              <w:textAlignment w:val="center"/>
              <w:rPr>
                <w:rFonts w:ascii="仿宋" w:eastAsia="仿宋" w:hAnsi="仿宋" w:cs="仿宋" w:hint="eastAsia"/>
                <w:color w:val="000000"/>
                <w:szCs w:val="24"/>
              </w:rPr>
            </w:pPr>
            <w:r>
              <w:rPr>
                <w:rFonts w:ascii="仿宋" w:eastAsia="仿宋" w:hAnsi="仿宋" w:cs="仿宋" w:hint="eastAsia"/>
                <w:color w:val="000000"/>
                <w:kern w:val="0"/>
                <w:szCs w:val="24"/>
                <w:lang w:bidi="ar"/>
              </w:rPr>
              <w:t>三级指标</w:t>
            </w:r>
          </w:p>
        </w:tc>
        <w:tc>
          <w:tcPr>
            <w:tcW w:w="934" w:type="dxa"/>
            <w:tcBorders>
              <w:tl2br w:val="nil"/>
              <w:tr2bl w:val="nil"/>
            </w:tcBorders>
            <w:vAlign w:val="center"/>
          </w:tcPr>
          <w:p w:rsidR="00284621" w:rsidRDefault="00000000">
            <w:pPr>
              <w:widowControl/>
              <w:spacing w:line="240" w:lineRule="auto"/>
              <w:ind w:firstLineChars="0" w:firstLine="0"/>
              <w:jc w:val="center"/>
              <w:textAlignment w:val="center"/>
              <w:rPr>
                <w:rFonts w:ascii="仿宋" w:eastAsia="仿宋" w:hAnsi="仿宋" w:cs="仿宋" w:hint="eastAsia"/>
                <w:color w:val="000000"/>
                <w:szCs w:val="24"/>
              </w:rPr>
            </w:pPr>
            <w:r>
              <w:rPr>
                <w:rFonts w:ascii="仿宋" w:eastAsia="仿宋" w:hAnsi="仿宋" w:cs="仿宋" w:hint="eastAsia"/>
                <w:color w:val="000000"/>
                <w:kern w:val="0"/>
                <w:szCs w:val="24"/>
                <w:lang w:bidi="ar"/>
              </w:rPr>
              <w:t>分值</w:t>
            </w:r>
          </w:p>
        </w:tc>
        <w:tc>
          <w:tcPr>
            <w:tcW w:w="8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 w:eastAsia="仿宋" w:hAnsi="仿宋" w:cs="仿宋" w:hint="eastAsia"/>
                <w:color w:val="000000"/>
                <w:szCs w:val="24"/>
              </w:rPr>
            </w:pPr>
            <w:r>
              <w:rPr>
                <w:rFonts w:ascii="仿宋" w:eastAsia="仿宋" w:hAnsi="仿宋" w:cs="仿宋" w:hint="eastAsia"/>
                <w:color w:val="000000"/>
                <w:kern w:val="0"/>
                <w:szCs w:val="24"/>
                <w:lang w:bidi="ar"/>
              </w:rPr>
              <w:t>得分</w:t>
            </w:r>
          </w:p>
        </w:tc>
        <w:tc>
          <w:tcPr>
            <w:tcW w:w="959" w:type="dxa"/>
            <w:tcBorders>
              <w:tl2br w:val="nil"/>
              <w:tr2bl w:val="nil"/>
            </w:tcBorders>
            <w:vAlign w:val="center"/>
          </w:tcPr>
          <w:p w:rsidR="00284621" w:rsidRDefault="00000000">
            <w:pPr>
              <w:widowControl/>
              <w:spacing w:line="240" w:lineRule="auto"/>
              <w:ind w:firstLineChars="0" w:firstLine="0"/>
              <w:jc w:val="center"/>
              <w:textAlignment w:val="center"/>
              <w:rPr>
                <w:rFonts w:ascii="仿宋" w:eastAsia="仿宋" w:hAnsi="仿宋" w:cs="仿宋" w:hint="eastAsia"/>
                <w:color w:val="000000"/>
                <w:szCs w:val="24"/>
              </w:rPr>
            </w:pPr>
            <w:r>
              <w:rPr>
                <w:rFonts w:ascii="仿宋" w:eastAsia="仿宋" w:hAnsi="仿宋" w:cs="仿宋" w:hint="eastAsia"/>
                <w:color w:val="000000"/>
                <w:kern w:val="0"/>
                <w:szCs w:val="24"/>
                <w:lang w:bidi="ar"/>
              </w:rPr>
              <w:t>得分率</w:t>
            </w:r>
          </w:p>
        </w:tc>
        <w:tc>
          <w:tcPr>
            <w:tcW w:w="31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 w:eastAsia="仿宋" w:hAnsi="仿宋" w:cs="仿宋" w:hint="eastAsia"/>
                <w:color w:val="000000"/>
                <w:szCs w:val="24"/>
              </w:rPr>
            </w:pPr>
            <w:r>
              <w:rPr>
                <w:rFonts w:ascii="仿宋" w:eastAsia="仿宋" w:hAnsi="仿宋" w:cs="仿宋" w:hint="eastAsia"/>
                <w:color w:val="000000"/>
                <w:kern w:val="0"/>
                <w:szCs w:val="24"/>
                <w:lang w:bidi="ar"/>
              </w:rPr>
              <w:t>扣分原因</w:t>
            </w:r>
          </w:p>
        </w:tc>
      </w:tr>
      <w:tr w:rsidR="00284621">
        <w:trPr>
          <w:trHeight w:val="968"/>
        </w:trPr>
        <w:tc>
          <w:tcPr>
            <w:tcW w:w="1276" w:type="dxa"/>
            <w:vMerge w:val="restart"/>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社会效益</w:t>
            </w:r>
          </w:p>
        </w:tc>
        <w:tc>
          <w:tcPr>
            <w:tcW w:w="1875"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因家庭困难辍学率</w:t>
            </w:r>
          </w:p>
        </w:tc>
        <w:tc>
          <w:tcPr>
            <w:tcW w:w="934"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5</w:t>
            </w:r>
          </w:p>
        </w:tc>
        <w:tc>
          <w:tcPr>
            <w:tcW w:w="8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5</w:t>
            </w:r>
          </w:p>
        </w:tc>
        <w:tc>
          <w:tcPr>
            <w:tcW w:w="959"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31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945"/>
        </w:trPr>
        <w:tc>
          <w:tcPr>
            <w:tcW w:w="1276" w:type="dxa"/>
            <w:vMerge/>
            <w:tcBorders>
              <w:tl2br w:val="nil"/>
              <w:tr2bl w:val="nil"/>
            </w:tcBorders>
            <w:vAlign w:val="center"/>
          </w:tcPr>
          <w:p w:rsidR="00284621" w:rsidRDefault="00284621">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p>
        </w:tc>
        <w:tc>
          <w:tcPr>
            <w:tcW w:w="1875"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中职学生就业效果</w:t>
            </w:r>
          </w:p>
        </w:tc>
        <w:tc>
          <w:tcPr>
            <w:tcW w:w="934"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5</w:t>
            </w:r>
          </w:p>
        </w:tc>
        <w:tc>
          <w:tcPr>
            <w:tcW w:w="8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5</w:t>
            </w:r>
          </w:p>
        </w:tc>
        <w:tc>
          <w:tcPr>
            <w:tcW w:w="959"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31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20</w:t>
            </w:r>
            <w:r>
              <w:rPr>
                <w:rFonts w:ascii="仿宋_GB2312" w:eastAsia="仿宋_GB2312" w:cs="仿宋_GB2312"/>
                <w:color w:val="000000"/>
                <w:kern w:val="0"/>
                <w:szCs w:val="24"/>
                <w:lang w:bidi="ar"/>
              </w:rPr>
              <w:t>21年就业率92%，</w:t>
            </w:r>
            <w:r>
              <w:rPr>
                <w:rFonts w:ascii="仿宋_GB2312" w:eastAsia="仿宋_GB2312" w:cs="仿宋_GB2312" w:hint="eastAsia"/>
                <w:color w:val="000000"/>
                <w:kern w:val="0"/>
                <w:szCs w:val="24"/>
                <w:lang w:bidi="ar"/>
              </w:rPr>
              <w:t>2023</w:t>
            </w:r>
            <w:r>
              <w:rPr>
                <w:rFonts w:ascii="仿宋_GB2312" w:eastAsia="仿宋_GB2312" w:cs="仿宋_GB2312"/>
                <w:color w:val="000000"/>
                <w:kern w:val="0"/>
                <w:szCs w:val="24"/>
                <w:lang w:bidi="ar"/>
              </w:rPr>
              <w:t>年就业率90%</w:t>
            </w:r>
            <w:r>
              <w:rPr>
                <w:rFonts w:ascii="仿宋_GB2312" w:eastAsia="仿宋_GB2312" w:cs="仿宋_GB2312" w:hint="eastAsia"/>
                <w:color w:val="000000"/>
                <w:kern w:val="0"/>
                <w:szCs w:val="24"/>
                <w:lang w:bidi="ar"/>
              </w:rPr>
              <w:t>，2023年93%。</w:t>
            </w:r>
          </w:p>
        </w:tc>
      </w:tr>
      <w:tr w:rsidR="00284621">
        <w:trPr>
          <w:trHeight w:val="1260"/>
        </w:trPr>
        <w:tc>
          <w:tcPr>
            <w:tcW w:w="127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可持续影响</w:t>
            </w:r>
          </w:p>
        </w:tc>
        <w:tc>
          <w:tcPr>
            <w:tcW w:w="1875"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本校提升中职教育吸引力</w:t>
            </w:r>
          </w:p>
        </w:tc>
        <w:tc>
          <w:tcPr>
            <w:tcW w:w="934"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10</w:t>
            </w:r>
          </w:p>
        </w:tc>
        <w:tc>
          <w:tcPr>
            <w:tcW w:w="8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10</w:t>
            </w:r>
          </w:p>
        </w:tc>
        <w:tc>
          <w:tcPr>
            <w:tcW w:w="959"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color w:val="000000"/>
                <w:kern w:val="0"/>
                <w:szCs w:val="24"/>
                <w:lang w:bidi="ar"/>
              </w:rPr>
              <w:t>100%</w:t>
            </w:r>
          </w:p>
        </w:tc>
        <w:tc>
          <w:tcPr>
            <w:tcW w:w="31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w:t>
            </w:r>
          </w:p>
        </w:tc>
      </w:tr>
      <w:tr w:rsidR="00284621">
        <w:trPr>
          <w:trHeight w:val="1260"/>
        </w:trPr>
        <w:tc>
          <w:tcPr>
            <w:tcW w:w="127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服务对象满意度</w:t>
            </w:r>
          </w:p>
        </w:tc>
        <w:tc>
          <w:tcPr>
            <w:tcW w:w="1875"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学生以及家长的满意程度</w:t>
            </w:r>
          </w:p>
        </w:tc>
        <w:tc>
          <w:tcPr>
            <w:tcW w:w="934"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10</w:t>
            </w:r>
          </w:p>
        </w:tc>
        <w:tc>
          <w:tcPr>
            <w:tcW w:w="8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6</w:t>
            </w:r>
          </w:p>
        </w:tc>
        <w:tc>
          <w:tcPr>
            <w:tcW w:w="959"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szCs w:val="24"/>
              </w:rPr>
            </w:pPr>
            <w:r>
              <w:rPr>
                <w:rFonts w:ascii="仿宋_GB2312" w:eastAsia="仿宋_GB2312" w:cs="仿宋_GB2312" w:hint="eastAsia"/>
                <w:color w:val="000000"/>
                <w:kern w:val="0"/>
                <w:szCs w:val="24"/>
                <w:lang w:bidi="ar"/>
              </w:rPr>
              <w:t>6</w:t>
            </w:r>
            <w:r>
              <w:rPr>
                <w:rFonts w:ascii="仿宋_GB2312" w:eastAsia="仿宋_GB2312" w:cs="仿宋_GB2312"/>
                <w:color w:val="000000"/>
                <w:kern w:val="0"/>
                <w:szCs w:val="24"/>
                <w:lang w:bidi="ar"/>
              </w:rPr>
              <w:t>0%</w:t>
            </w:r>
          </w:p>
        </w:tc>
        <w:tc>
          <w:tcPr>
            <w:tcW w:w="3166" w:type="dxa"/>
            <w:tcBorders>
              <w:tl2br w:val="nil"/>
              <w:tr2bl w:val="nil"/>
            </w:tcBorders>
            <w:vAlign w:val="center"/>
          </w:tcPr>
          <w:p w:rsidR="00284621" w:rsidRDefault="00000000">
            <w:pPr>
              <w:widowControl/>
              <w:spacing w:line="240" w:lineRule="auto"/>
              <w:ind w:firstLineChars="0" w:firstLine="0"/>
              <w:jc w:val="center"/>
              <w:textAlignment w:val="center"/>
              <w:rPr>
                <w:rFonts w:ascii="仿宋_GB2312" w:eastAsia="仿宋_GB2312" w:cs="仿宋_GB2312" w:hint="eastAsia"/>
                <w:color w:val="000000"/>
                <w:kern w:val="0"/>
                <w:szCs w:val="24"/>
                <w:lang w:bidi="ar"/>
              </w:rPr>
            </w:pPr>
            <w:r>
              <w:rPr>
                <w:rFonts w:ascii="仿宋_GB2312" w:eastAsia="仿宋_GB2312" w:cs="仿宋_GB2312" w:hint="eastAsia"/>
                <w:color w:val="000000"/>
                <w:kern w:val="0"/>
                <w:szCs w:val="24"/>
                <w:lang w:bidi="ar"/>
              </w:rPr>
              <w:t>满意效果一般</w:t>
            </w:r>
          </w:p>
        </w:tc>
      </w:tr>
    </w:tbl>
    <w:p w:rsidR="00284621" w:rsidRDefault="00000000">
      <w:pPr>
        <w:spacing w:line="240" w:lineRule="auto"/>
        <w:ind w:firstLine="618"/>
        <w:outlineLvl w:val="2"/>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1、社会效益</w:t>
      </w:r>
      <w:bookmarkEnd w:id="172"/>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73" w:name="_Toc14797"/>
      <w:bookmarkStart w:id="174" w:name="_Toc22364"/>
      <w:r>
        <w:rPr>
          <w:rFonts w:ascii="仿宋_GB2312" w:eastAsia="仿宋_GB2312" w:hAnsi="仿宋_GB2312" w:cs="仿宋_GB2312" w:hint="eastAsia"/>
          <w:spacing w:val="-3"/>
          <w:w w:val="99"/>
          <w:sz w:val="32"/>
          <w:szCs w:val="32"/>
        </w:rPr>
        <w:t>（1）</w:t>
      </w:r>
      <w:bookmarkEnd w:id="173"/>
      <w:bookmarkEnd w:id="174"/>
      <w:r>
        <w:rPr>
          <w:rFonts w:ascii="仿宋_GB2312" w:eastAsia="仿宋_GB2312" w:hAnsi="仿宋_GB2312" w:cs="仿宋_GB2312" w:hint="eastAsia"/>
          <w:spacing w:val="-3"/>
          <w:w w:val="99"/>
          <w:sz w:val="32"/>
          <w:szCs w:val="32"/>
        </w:rPr>
        <w:t>因家庭困难辍学率</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75" w:name="_Toc10959"/>
      <w:bookmarkStart w:id="176" w:name="_Toc5467"/>
      <w:r>
        <w:rPr>
          <w:rFonts w:ascii="仿宋_GB2312" w:eastAsia="仿宋_GB2312" w:hAnsi="仿宋_GB2312" w:cs="仿宋_GB2312" w:hint="eastAsia"/>
          <w:spacing w:val="-3"/>
          <w:w w:val="99"/>
          <w:sz w:val="32"/>
          <w:szCs w:val="32"/>
        </w:rPr>
        <w:t>指标分值5分，评价得分5分。</w:t>
      </w:r>
      <w:bookmarkEnd w:id="175"/>
      <w:bookmarkEnd w:id="176"/>
      <w:r>
        <w:rPr>
          <w:rFonts w:ascii="仿宋_GB2312" w:eastAsia="仿宋_GB2312" w:hAnsi="仿宋_GB2312" w:cs="仿宋_GB2312" w:hint="eastAsia"/>
          <w:spacing w:val="-3"/>
          <w:w w:val="99"/>
          <w:sz w:val="32"/>
          <w:szCs w:val="32"/>
        </w:rPr>
        <w:t>经查看项目档案资料及项</w:t>
      </w:r>
      <w:r>
        <w:rPr>
          <w:rFonts w:ascii="仿宋_GB2312" w:eastAsia="仿宋_GB2312" w:hAnsi="仿宋_GB2312" w:cs="仿宋_GB2312" w:hint="eastAsia"/>
          <w:spacing w:val="-3"/>
          <w:w w:val="99"/>
          <w:sz w:val="32"/>
          <w:szCs w:val="32"/>
        </w:rPr>
        <w:lastRenderedPageBreak/>
        <w:t>目自评表，2023年内蒙古经贸学校因家庭困难辍学率为0%，故因家庭困难辍学率不予扣分。</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bookmarkStart w:id="177" w:name="_Toc31852"/>
      <w:r>
        <w:rPr>
          <w:rFonts w:ascii="仿宋_GB2312" w:eastAsia="仿宋_GB2312" w:hAnsi="仿宋_GB2312" w:cs="仿宋_GB2312" w:hint="eastAsia"/>
          <w:spacing w:val="-3"/>
          <w:w w:val="99"/>
          <w:sz w:val="32"/>
          <w:szCs w:val="32"/>
        </w:rPr>
        <w:t>（2）中职学生就业效果</w:t>
      </w:r>
    </w:p>
    <w:p w:rsidR="00284621" w:rsidRDefault="00000000">
      <w:pPr>
        <w:spacing w:line="240" w:lineRule="auto"/>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指标分值5分，评价得分5分。经查看资料及项目自评表，2023年内蒙古经贸学校中职学生就业率93%，2022年就业率90%，较上年就业率上升，故中职学生就业效果不予扣分。</w:t>
      </w:r>
    </w:p>
    <w:p w:rsidR="00284621" w:rsidRDefault="00000000">
      <w:pPr>
        <w:spacing w:line="240" w:lineRule="auto"/>
        <w:ind w:left="640" w:firstLineChars="0" w:firstLine="0"/>
        <w:outlineLvl w:val="2"/>
        <w:rPr>
          <w:rFonts w:ascii="仿宋_GB2312" w:eastAsia="仿宋_GB2312" w:hAnsi="仿宋_GB2312" w:cs="仿宋_GB2312" w:hint="eastAsia"/>
          <w:spacing w:val="-3"/>
          <w:w w:val="99"/>
          <w:sz w:val="32"/>
          <w:szCs w:val="32"/>
        </w:rPr>
      </w:pPr>
      <w:bookmarkStart w:id="178" w:name="_Toc1616"/>
      <w:bookmarkEnd w:id="177"/>
      <w:r>
        <w:rPr>
          <w:rFonts w:ascii="仿宋_GB2312" w:eastAsia="仿宋_GB2312" w:hAnsi="仿宋_GB2312" w:cs="仿宋_GB2312" w:hint="eastAsia"/>
          <w:spacing w:val="-3"/>
          <w:w w:val="99"/>
          <w:sz w:val="32"/>
          <w:szCs w:val="32"/>
        </w:rPr>
        <w:t>2、可持续影响</w:t>
      </w:r>
      <w:bookmarkEnd w:id="178"/>
    </w:p>
    <w:p w:rsidR="00284621" w:rsidRDefault="00000000">
      <w:pPr>
        <w:ind w:firstLine="618"/>
        <w:jc w:val="left"/>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（1）本校提升中职教育吸引力</w:t>
      </w:r>
    </w:p>
    <w:p w:rsidR="00284621" w:rsidRDefault="00000000">
      <w:pPr>
        <w:ind w:firstLine="618"/>
        <w:jc w:val="left"/>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指标分值10分，评价得分10分。经查阅项目资料及项目自评表，2023年内蒙古经贸学校预期本校提升中职教育吸引力达到85%，实际完成目标任务，故本校提升中职教育吸引力不扣分。</w:t>
      </w:r>
    </w:p>
    <w:p w:rsidR="00284621" w:rsidRDefault="00000000">
      <w:pPr>
        <w:spacing w:line="240" w:lineRule="auto"/>
        <w:ind w:left="640" w:firstLineChars="0" w:firstLine="0"/>
        <w:outlineLvl w:val="2"/>
        <w:rPr>
          <w:rFonts w:ascii="仿宋_GB2312" w:eastAsia="仿宋_GB2312" w:hAnsi="仿宋_GB2312" w:cs="仿宋_GB2312" w:hint="eastAsia"/>
          <w:spacing w:val="-3"/>
          <w:w w:val="99"/>
          <w:sz w:val="32"/>
          <w:szCs w:val="32"/>
        </w:rPr>
      </w:pPr>
      <w:bookmarkStart w:id="179" w:name="_Toc17393"/>
      <w:r>
        <w:rPr>
          <w:rFonts w:ascii="仿宋_GB2312" w:eastAsia="仿宋_GB2312" w:hAnsi="仿宋_GB2312" w:cs="仿宋_GB2312" w:hint="eastAsia"/>
          <w:spacing w:val="-3"/>
          <w:w w:val="99"/>
          <w:sz w:val="32"/>
          <w:szCs w:val="32"/>
        </w:rPr>
        <w:t>4、</w:t>
      </w:r>
      <w:bookmarkEnd w:id="179"/>
      <w:r>
        <w:rPr>
          <w:rFonts w:ascii="仿宋_GB2312" w:eastAsia="仿宋_GB2312" w:hAnsi="仿宋_GB2312" w:cs="仿宋_GB2312" w:hint="eastAsia"/>
          <w:spacing w:val="-3"/>
          <w:w w:val="99"/>
          <w:sz w:val="32"/>
          <w:szCs w:val="32"/>
        </w:rPr>
        <w:t>服务对象满意度</w:t>
      </w:r>
    </w:p>
    <w:p w:rsidR="00284621" w:rsidRDefault="00000000">
      <w:pPr>
        <w:spacing w:line="240" w:lineRule="auto"/>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指标分值10分，评价得分6分。评价工作组以网上调查的方式对中央中职学生资助项目进行问卷调查，调查问卷平均分值达到82分，故服务对象满意度扣4分。</w:t>
      </w:r>
    </w:p>
    <w:bookmarkEnd w:id="127"/>
    <w:bookmarkEnd w:id="128"/>
    <w:bookmarkEnd w:id="129"/>
    <w:bookmarkEnd w:id="130"/>
    <w:bookmarkEnd w:id="131"/>
    <w:bookmarkEnd w:id="132"/>
    <w:bookmarkEnd w:id="133"/>
    <w:bookmarkEnd w:id="136"/>
    <w:bookmarkEnd w:id="137"/>
    <w:bookmarkEnd w:id="138"/>
    <w:bookmarkEnd w:id="139"/>
    <w:bookmarkEnd w:id="155"/>
    <w:p w:rsidR="00284621" w:rsidRDefault="00000000">
      <w:pPr>
        <w:ind w:firstLine="618"/>
        <w:outlineLvl w:val="0"/>
        <w:rPr>
          <w:rFonts w:ascii="黑体" w:eastAsia="黑体" w:hAnsi="黑体" w:cs="黑体" w:hint="eastAsia"/>
          <w:spacing w:val="-3"/>
          <w:w w:val="99"/>
          <w:sz w:val="32"/>
          <w:szCs w:val="32"/>
        </w:rPr>
      </w:pPr>
      <w:r>
        <w:rPr>
          <w:rFonts w:ascii="黑体" w:eastAsia="黑体" w:hAnsi="黑体" w:cs="黑体" w:hint="eastAsia"/>
          <w:spacing w:val="-3"/>
          <w:w w:val="99"/>
          <w:sz w:val="32"/>
          <w:szCs w:val="32"/>
        </w:rPr>
        <w:t>五、主要经验及做法、存在的问题及原因分析</w:t>
      </w:r>
    </w:p>
    <w:p w:rsidR="00284621" w:rsidRDefault="00000000">
      <w:pPr>
        <w:ind w:firstLine="618"/>
        <w:outlineLvl w:val="1"/>
        <w:rPr>
          <w:rFonts w:ascii="楷体" w:eastAsia="楷体" w:hAnsi="楷体" w:cs="楷体" w:hint="eastAsia"/>
          <w:spacing w:val="-3"/>
          <w:w w:val="99"/>
          <w:sz w:val="32"/>
          <w:szCs w:val="32"/>
        </w:rPr>
      </w:pPr>
      <w:bookmarkStart w:id="180" w:name="_Toc4582"/>
      <w:bookmarkStart w:id="181" w:name="_Toc32349"/>
      <w:bookmarkStart w:id="182" w:name="_Toc16759"/>
      <w:bookmarkStart w:id="183" w:name="_Toc14601"/>
      <w:bookmarkStart w:id="184" w:name="_Toc24375"/>
      <w:bookmarkStart w:id="185" w:name="_Toc17592"/>
      <w:bookmarkStart w:id="186" w:name="_Toc31761"/>
      <w:r>
        <w:rPr>
          <w:rFonts w:ascii="楷体" w:eastAsia="楷体" w:hAnsi="楷体" w:cs="楷体" w:hint="eastAsia"/>
          <w:spacing w:val="-3"/>
          <w:w w:val="99"/>
          <w:sz w:val="32"/>
          <w:szCs w:val="32"/>
        </w:rPr>
        <w:t>（一）主要经验及做法</w:t>
      </w:r>
    </w:p>
    <w:p w:rsidR="00284621" w:rsidRDefault="00000000">
      <w:pPr>
        <w:ind w:firstLine="618"/>
        <w:outlineLvl w:val="1"/>
        <w:rPr>
          <w:rFonts w:ascii="楷体" w:eastAsia="楷体" w:hAnsi="楷体" w:cs="楷体" w:hint="eastAsia"/>
          <w:spacing w:val="-3"/>
          <w:w w:val="99"/>
          <w:sz w:val="32"/>
          <w:szCs w:val="32"/>
        </w:rPr>
      </w:pPr>
      <w:r>
        <w:rPr>
          <w:rFonts w:ascii="仿宋_GB2312" w:eastAsia="仿宋_GB2312" w:hAnsi="仿宋_GB2312" w:cs="仿宋_GB2312" w:hint="eastAsia"/>
          <w:spacing w:val="-3"/>
          <w:w w:val="99"/>
          <w:sz w:val="32"/>
          <w:szCs w:val="32"/>
        </w:rPr>
        <w:t>学校不定期与学生和家长沟通，学生和家长提出意见和建议，加快学校发展进程。</w:t>
      </w:r>
    </w:p>
    <w:p w:rsidR="00284621" w:rsidRDefault="00000000">
      <w:pPr>
        <w:ind w:leftChars="200" w:left="480" w:firstLineChars="0" w:firstLine="0"/>
        <w:outlineLvl w:val="1"/>
        <w:rPr>
          <w:rFonts w:ascii="楷体" w:eastAsia="楷体" w:hAnsi="楷体" w:cs="楷体" w:hint="eastAsia"/>
          <w:spacing w:val="-3"/>
          <w:w w:val="99"/>
          <w:sz w:val="32"/>
          <w:szCs w:val="32"/>
        </w:rPr>
      </w:pPr>
      <w:r>
        <w:rPr>
          <w:rFonts w:ascii="楷体" w:eastAsia="楷体" w:hAnsi="楷体" w:cs="楷体" w:hint="eastAsia"/>
          <w:spacing w:val="-3"/>
          <w:w w:val="99"/>
          <w:sz w:val="32"/>
          <w:szCs w:val="32"/>
        </w:rPr>
        <w:t>（二）存在的问题</w:t>
      </w:r>
      <w:bookmarkEnd w:id="180"/>
      <w:bookmarkEnd w:id="181"/>
      <w:bookmarkEnd w:id="182"/>
      <w:bookmarkEnd w:id="183"/>
      <w:bookmarkEnd w:id="184"/>
      <w:bookmarkEnd w:id="185"/>
      <w:bookmarkEnd w:id="186"/>
    </w:p>
    <w:p w:rsidR="00284621" w:rsidRDefault="00000000">
      <w:pPr>
        <w:pStyle w:val="a0"/>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因学校教学楼鉴定为危楼，已经停用，对教学工作产生一</w:t>
      </w:r>
      <w:r>
        <w:rPr>
          <w:rFonts w:ascii="仿宋_GB2312" w:eastAsia="仿宋_GB2312" w:hAnsi="仿宋_GB2312" w:cs="仿宋_GB2312" w:hint="eastAsia"/>
          <w:spacing w:val="-3"/>
          <w:w w:val="99"/>
          <w:sz w:val="32"/>
          <w:szCs w:val="32"/>
        </w:rPr>
        <w:lastRenderedPageBreak/>
        <w:t>定影响，导致部分学生在满意度调查过程中提出意见，影响项目整体得分。</w:t>
      </w:r>
    </w:p>
    <w:p w:rsidR="00284621" w:rsidRDefault="00000000">
      <w:pPr>
        <w:ind w:firstLine="618"/>
        <w:outlineLvl w:val="1"/>
        <w:rPr>
          <w:rFonts w:ascii="楷体" w:eastAsia="楷体" w:hAnsi="楷体" w:cs="楷体" w:hint="eastAsia"/>
          <w:spacing w:val="-3"/>
          <w:w w:val="99"/>
          <w:sz w:val="32"/>
          <w:szCs w:val="32"/>
        </w:rPr>
      </w:pPr>
      <w:bookmarkStart w:id="187" w:name="_Toc27919"/>
      <w:bookmarkStart w:id="188" w:name="_Toc10350"/>
      <w:bookmarkStart w:id="189" w:name="_Toc19622"/>
      <w:bookmarkStart w:id="190" w:name="_Toc9767"/>
      <w:bookmarkStart w:id="191" w:name="_Toc25219"/>
      <w:bookmarkStart w:id="192" w:name="_Toc30399"/>
      <w:bookmarkStart w:id="193" w:name="_Toc4087"/>
      <w:r>
        <w:rPr>
          <w:rFonts w:ascii="楷体" w:eastAsia="楷体" w:hAnsi="楷体" w:cs="楷体" w:hint="eastAsia"/>
          <w:spacing w:val="-3"/>
          <w:w w:val="99"/>
          <w:sz w:val="32"/>
          <w:szCs w:val="32"/>
        </w:rPr>
        <w:t>（三）</w:t>
      </w:r>
      <w:bookmarkEnd w:id="187"/>
      <w:bookmarkEnd w:id="188"/>
      <w:bookmarkEnd w:id="189"/>
      <w:bookmarkEnd w:id="190"/>
      <w:bookmarkEnd w:id="191"/>
      <w:bookmarkEnd w:id="192"/>
      <w:bookmarkEnd w:id="193"/>
      <w:r>
        <w:rPr>
          <w:rFonts w:ascii="楷体" w:eastAsia="楷体" w:hAnsi="楷体" w:cs="楷体" w:hint="eastAsia"/>
          <w:spacing w:val="-3"/>
          <w:w w:val="99"/>
          <w:sz w:val="32"/>
          <w:szCs w:val="32"/>
        </w:rPr>
        <w:t>原因分析</w:t>
      </w:r>
    </w:p>
    <w:p w:rsidR="00284621" w:rsidRDefault="00000000">
      <w:pPr>
        <w:ind w:firstLine="618"/>
        <w:outlineLvl w:val="0"/>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学校教学楼鉴定为危楼，部分学生上课需要调换教室，学校暂无资金建设新教学楼，给在校学生上课带来一定影响。</w:t>
      </w:r>
    </w:p>
    <w:p w:rsidR="00284621" w:rsidRDefault="00000000">
      <w:pPr>
        <w:numPr>
          <w:ilvl w:val="0"/>
          <w:numId w:val="5"/>
        </w:numPr>
        <w:ind w:firstLine="618"/>
        <w:outlineLvl w:val="0"/>
        <w:rPr>
          <w:rFonts w:ascii="黑体" w:eastAsia="黑体" w:hAnsi="黑体" w:cs="黑体" w:hint="eastAsia"/>
          <w:spacing w:val="-3"/>
          <w:w w:val="99"/>
          <w:sz w:val="32"/>
          <w:szCs w:val="32"/>
        </w:rPr>
      </w:pPr>
      <w:r>
        <w:rPr>
          <w:rFonts w:ascii="黑体" w:eastAsia="黑体" w:hAnsi="黑体" w:cs="黑体" w:hint="eastAsia"/>
          <w:spacing w:val="-3"/>
          <w:w w:val="99"/>
          <w:sz w:val="32"/>
          <w:szCs w:val="32"/>
        </w:rPr>
        <w:t>有关建议</w:t>
      </w:r>
    </w:p>
    <w:p w:rsidR="00284621" w:rsidRDefault="00000000">
      <w:pPr>
        <w:pStyle w:val="a0"/>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1.调整工作计划，改变思路，开发利用学校闲置资源，合理安排教室、实训室以及教育教学设备采购；做好师资提质培优等项目开展工作。</w:t>
      </w:r>
    </w:p>
    <w:p w:rsidR="00284621" w:rsidRDefault="00000000">
      <w:pPr>
        <w:pStyle w:val="a0"/>
        <w:ind w:firstLine="618"/>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2.设立项目开展应急机制及突发问题解决方案。</w:t>
      </w:r>
    </w:p>
    <w:p w:rsidR="00284621" w:rsidRDefault="00000000">
      <w:pPr>
        <w:pStyle w:val="a0"/>
        <w:ind w:firstLine="640"/>
        <w:rPr>
          <w:rFonts w:hint="eastAsia"/>
          <w:sz w:val="32"/>
          <w:szCs w:val="32"/>
        </w:rPr>
      </w:pPr>
      <w:r>
        <w:rPr>
          <w:rFonts w:ascii="黑体" w:eastAsia="黑体" w:hAnsi="黑体" w:cs="方正黑体_GBK" w:hint="eastAsia"/>
          <w:color w:val="000000"/>
          <w:sz w:val="32"/>
          <w:szCs w:val="32"/>
        </w:rPr>
        <w:t>七、其他需说明的问题</w:t>
      </w:r>
    </w:p>
    <w:p w:rsidR="00284621" w:rsidRPr="00E24EAE" w:rsidRDefault="00000000" w:rsidP="00E24EAE">
      <w:pPr>
        <w:spacing w:line="620" w:lineRule="exact"/>
        <w:ind w:firstLineChars="300" w:firstLine="927"/>
        <w:rPr>
          <w:rFonts w:ascii="仿宋_GB2312" w:eastAsia="仿宋_GB2312" w:hAnsi="仿宋_GB2312" w:cs="仿宋_GB2312" w:hint="eastAsia"/>
          <w:spacing w:val="-3"/>
          <w:w w:val="99"/>
          <w:sz w:val="32"/>
          <w:szCs w:val="32"/>
        </w:rPr>
      </w:pPr>
      <w:r>
        <w:rPr>
          <w:rFonts w:ascii="仿宋_GB2312" w:eastAsia="仿宋_GB2312" w:hAnsi="仿宋_GB2312" w:cs="仿宋_GB2312" w:hint="eastAsia"/>
          <w:spacing w:val="-3"/>
          <w:w w:val="99"/>
          <w:sz w:val="32"/>
          <w:szCs w:val="32"/>
        </w:rPr>
        <w:t>无</w:t>
      </w:r>
    </w:p>
    <w:p w:rsidR="00284621" w:rsidRDefault="00000000">
      <w:pPr>
        <w:spacing w:line="620" w:lineRule="exact"/>
        <w:ind w:firstLine="640"/>
        <w:rPr>
          <w:rFonts w:hint="eastAsia"/>
        </w:rPr>
      </w:pPr>
      <w:r>
        <w:rPr>
          <w:rFonts w:ascii="仿宋_GB2312" w:eastAsia="仿宋_GB2312" w:hAnsi="仿宋_GB2312" w:cs="仿宋_GB2312" w:hint="eastAsia"/>
          <w:sz w:val="32"/>
          <w:szCs w:val="32"/>
        </w:rPr>
        <w:t>附件:内蒙古经贸学校2023年度中央中职学生资助项目支出绩效评价指标表</w:t>
      </w:r>
    </w:p>
    <w:bookmarkStart w:id="194" w:name="_MON_1786171577"/>
    <w:bookmarkEnd w:id="194"/>
    <w:p w:rsidR="00284621" w:rsidRPr="00E24EAE" w:rsidRDefault="00B30AF4">
      <w:pPr>
        <w:keepNext/>
        <w:keepLines/>
        <w:spacing w:line="240" w:lineRule="auto"/>
        <w:ind w:firstLineChars="0" w:firstLine="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object w:dxaOrig="1534" w:dyaOrig="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pt;height:55.7pt" o:ole="">
            <v:imagedata r:id="rId8" o:title=""/>
          </v:shape>
          <o:OLEObject Type="Embed" ProgID="Excel.Sheet.12" ShapeID="_x0000_i1027" DrawAspect="Icon" ObjectID="_1786171609" r:id="rId9"/>
        </w:object>
      </w:r>
    </w:p>
    <w:p w:rsidR="00284621" w:rsidRDefault="00000000">
      <w:pPr>
        <w:keepNext/>
        <w:keepLines/>
        <w:spacing w:line="240" w:lineRule="auto"/>
        <w:ind w:firstLineChars="0" w:firstLine="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绩效评价主体：内蒙古自治区供销合作社联合社</w:t>
      </w:r>
    </w:p>
    <w:p w:rsidR="00284621" w:rsidRDefault="00000000">
      <w:pPr>
        <w:pStyle w:val="a0"/>
        <w:spacing w:line="240" w:lineRule="auto"/>
        <w:ind w:firstLineChars="0" w:firstLine="0"/>
        <w:rPr>
          <w:rFonts w:hint="eastAsia"/>
        </w:rPr>
      </w:pPr>
      <w:r>
        <w:rPr>
          <w:rFonts w:ascii="仿宋_GB2312" w:eastAsia="仿宋_GB2312" w:hAnsi="仿宋_GB2312" w:cs="仿宋_GB2312" w:hint="eastAsia"/>
          <w:sz w:val="32"/>
          <w:szCs w:val="32"/>
        </w:rPr>
        <w:t>日期：2024年3月29日</w:t>
      </w:r>
    </w:p>
    <w:p w:rsidR="00284621" w:rsidRDefault="00284621">
      <w:pPr>
        <w:keepNext/>
        <w:keepLines/>
        <w:spacing w:line="240" w:lineRule="auto"/>
        <w:ind w:firstLineChars="0" w:firstLine="0"/>
        <w:outlineLvl w:val="1"/>
        <w:rPr>
          <w:rFonts w:ascii="仿宋_GB2312" w:eastAsia="仿宋_GB2312" w:hAnsi="仿宋_GB2312" w:cs="仿宋_GB2312" w:hint="eastAsia"/>
          <w:sz w:val="32"/>
          <w:szCs w:val="32"/>
        </w:rPr>
      </w:pPr>
    </w:p>
    <w:p w:rsidR="00284621" w:rsidRDefault="00000000">
      <w:pPr>
        <w:keepNext/>
        <w:keepLines/>
        <w:spacing w:line="240" w:lineRule="auto"/>
        <w:ind w:firstLineChars="0" w:firstLine="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第三方绩效评价机构：内蒙古经达会计师事务所有限责任公司</w:t>
      </w:r>
    </w:p>
    <w:p w:rsidR="00284621" w:rsidRDefault="00000000">
      <w:pPr>
        <w:pStyle w:val="a0"/>
        <w:spacing w:line="240" w:lineRule="auto"/>
        <w:ind w:firstLineChars="0" w:firstLine="0"/>
        <w:rPr>
          <w:rFonts w:hint="eastAsia"/>
        </w:rPr>
      </w:pPr>
      <w:r>
        <w:rPr>
          <w:rFonts w:ascii="仿宋_GB2312" w:eastAsia="仿宋_GB2312" w:hAnsi="仿宋_GB2312" w:cs="仿宋_GB2312" w:hint="eastAsia"/>
          <w:sz w:val="32"/>
          <w:szCs w:val="32"/>
        </w:rPr>
        <w:t>日期：2024年3月29日</w:t>
      </w:r>
    </w:p>
    <w:sectPr w:rsidR="002846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7BC1" w:rsidRDefault="00587BC1">
      <w:pPr>
        <w:spacing w:line="240" w:lineRule="auto"/>
        <w:rPr>
          <w:rFonts w:hint="eastAsia"/>
        </w:rPr>
      </w:pPr>
    </w:p>
  </w:endnote>
  <w:endnote w:type="continuationSeparator" w:id="0">
    <w:p w:rsidR="00587BC1" w:rsidRDefault="00587BC1">
      <w:pPr>
        <w:spacing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621" w:rsidRDefault="00284621">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621" w:rsidRDefault="00000000">
    <w:pPr>
      <w:pStyle w:val="a5"/>
      <w:ind w:firstLine="360"/>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4621" w:rsidRDefault="00000000">
                          <w:pPr>
                            <w:pStyle w:val="a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14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84621" w:rsidRDefault="00000000">
                    <w:pPr>
                      <w:pStyle w:val="a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14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621" w:rsidRDefault="00284621">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7BC1" w:rsidRDefault="00587BC1">
      <w:pPr>
        <w:rPr>
          <w:rFonts w:hint="eastAsia"/>
        </w:rPr>
      </w:pPr>
    </w:p>
  </w:footnote>
  <w:footnote w:type="continuationSeparator" w:id="0">
    <w:p w:rsidR="00587BC1" w:rsidRDefault="00587BC1">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621" w:rsidRDefault="00284621">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621" w:rsidRDefault="00000000">
    <w:pPr>
      <w:pStyle w:val="a7"/>
      <w:pBdr>
        <w:bottom w:val="single" w:sz="4" w:space="1" w:color="auto"/>
      </w:pBdr>
      <w:tabs>
        <w:tab w:val="left" w:pos="3618"/>
      </w:tabs>
      <w:ind w:firstLine="360"/>
      <w:jc w:val="left"/>
      <w:rPr>
        <w:rFonts w:hint="eastAsia"/>
      </w:rPr>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621" w:rsidRDefault="00284621">
    <w:pPr>
      <w:pStyle w:val="a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28DD9"/>
    <w:multiLevelType w:val="singleLevel"/>
    <w:tmpl w:val="8B928DD9"/>
    <w:lvl w:ilvl="0">
      <w:start w:val="1"/>
      <w:numFmt w:val="decimal"/>
      <w:suff w:val="nothing"/>
      <w:lvlText w:val="%1、"/>
      <w:lvlJc w:val="left"/>
    </w:lvl>
  </w:abstractNum>
  <w:abstractNum w:abstractNumId="1" w15:restartNumberingAfterBreak="0">
    <w:nsid w:val="AC30C374"/>
    <w:multiLevelType w:val="singleLevel"/>
    <w:tmpl w:val="AC30C374"/>
    <w:lvl w:ilvl="0">
      <w:start w:val="3"/>
      <w:numFmt w:val="decimal"/>
      <w:suff w:val="nothing"/>
      <w:lvlText w:val="（%1）"/>
      <w:lvlJc w:val="left"/>
    </w:lvl>
  </w:abstractNum>
  <w:abstractNum w:abstractNumId="2" w15:restartNumberingAfterBreak="0">
    <w:nsid w:val="E06ED6C5"/>
    <w:multiLevelType w:val="singleLevel"/>
    <w:tmpl w:val="E06ED6C5"/>
    <w:lvl w:ilvl="0">
      <w:start w:val="1"/>
      <w:numFmt w:val="decimal"/>
      <w:suff w:val="nothing"/>
      <w:lvlText w:val="%1、"/>
      <w:lvlJc w:val="left"/>
    </w:lvl>
  </w:abstractNum>
  <w:abstractNum w:abstractNumId="3" w15:restartNumberingAfterBreak="0">
    <w:nsid w:val="1F3EEE10"/>
    <w:multiLevelType w:val="singleLevel"/>
    <w:tmpl w:val="1F3EEE10"/>
    <w:lvl w:ilvl="0">
      <w:start w:val="2"/>
      <w:numFmt w:val="chineseCounting"/>
      <w:suff w:val="nothing"/>
      <w:lvlText w:val="（%1）"/>
      <w:lvlJc w:val="left"/>
      <w:rPr>
        <w:rFonts w:hint="eastAsia"/>
      </w:rPr>
    </w:lvl>
  </w:abstractNum>
  <w:abstractNum w:abstractNumId="4" w15:restartNumberingAfterBreak="0">
    <w:nsid w:val="2E8E61F2"/>
    <w:multiLevelType w:val="singleLevel"/>
    <w:tmpl w:val="2E8E61F2"/>
    <w:lvl w:ilvl="0">
      <w:start w:val="6"/>
      <w:numFmt w:val="chineseCounting"/>
      <w:suff w:val="nothing"/>
      <w:lvlText w:val="%1、"/>
      <w:lvlJc w:val="left"/>
      <w:rPr>
        <w:rFonts w:hint="eastAsia"/>
      </w:rPr>
    </w:lvl>
  </w:abstractNum>
  <w:num w:numId="1" w16cid:durableId="1015302113">
    <w:abstractNumId w:val="3"/>
  </w:num>
  <w:num w:numId="2" w16cid:durableId="1562207532">
    <w:abstractNumId w:val="2"/>
  </w:num>
  <w:num w:numId="3" w16cid:durableId="1977562932">
    <w:abstractNumId w:val="1"/>
  </w:num>
  <w:num w:numId="4" w16cid:durableId="827480306">
    <w:abstractNumId w:val="0"/>
  </w:num>
  <w:num w:numId="5" w16cid:durableId="172574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xNWRlMmMyMDU0OWZjMjY1MTIxNTQxOWVhYjUzYjEifQ=="/>
  </w:docVars>
  <w:rsids>
    <w:rsidRoot w:val="2B6F4C9D"/>
    <w:rsid w:val="000A297C"/>
    <w:rsid w:val="00284621"/>
    <w:rsid w:val="004C2775"/>
    <w:rsid w:val="004D77F5"/>
    <w:rsid w:val="004D7C0E"/>
    <w:rsid w:val="00587BC1"/>
    <w:rsid w:val="00616E42"/>
    <w:rsid w:val="00756160"/>
    <w:rsid w:val="00852652"/>
    <w:rsid w:val="00867BA5"/>
    <w:rsid w:val="0096249A"/>
    <w:rsid w:val="00AF50B8"/>
    <w:rsid w:val="00B12946"/>
    <w:rsid w:val="00B30AF4"/>
    <w:rsid w:val="00B34FC7"/>
    <w:rsid w:val="00B70201"/>
    <w:rsid w:val="00CA048F"/>
    <w:rsid w:val="00E024D2"/>
    <w:rsid w:val="00E24EAE"/>
    <w:rsid w:val="00E54742"/>
    <w:rsid w:val="00EF1CB1"/>
    <w:rsid w:val="01614212"/>
    <w:rsid w:val="026752A9"/>
    <w:rsid w:val="03C2244D"/>
    <w:rsid w:val="049C7DEF"/>
    <w:rsid w:val="04A96372"/>
    <w:rsid w:val="04C2697B"/>
    <w:rsid w:val="05156224"/>
    <w:rsid w:val="0616660F"/>
    <w:rsid w:val="069550DB"/>
    <w:rsid w:val="06AB7BA4"/>
    <w:rsid w:val="07CB6A82"/>
    <w:rsid w:val="084D2748"/>
    <w:rsid w:val="08803584"/>
    <w:rsid w:val="0C062F64"/>
    <w:rsid w:val="0DA76D42"/>
    <w:rsid w:val="0F0A7121"/>
    <w:rsid w:val="0F18115A"/>
    <w:rsid w:val="0F4B3357"/>
    <w:rsid w:val="0F6F185A"/>
    <w:rsid w:val="0FDC5FFD"/>
    <w:rsid w:val="136923D4"/>
    <w:rsid w:val="15BB6F18"/>
    <w:rsid w:val="16323E02"/>
    <w:rsid w:val="1891657A"/>
    <w:rsid w:val="18ED55F2"/>
    <w:rsid w:val="197864DF"/>
    <w:rsid w:val="19A02C16"/>
    <w:rsid w:val="1A674D68"/>
    <w:rsid w:val="1A821FE7"/>
    <w:rsid w:val="1AC32CC4"/>
    <w:rsid w:val="1B9331E7"/>
    <w:rsid w:val="1E674D08"/>
    <w:rsid w:val="1EAB64DA"/>
    <w:rsid w:val="1EDF6D85"/>
    <w:rsid w:val="20347893"/>
    <w:rsid w:val="20752E9C"/>
    <w:rsid w:val="20ED716B"/>
    <w:rsid w:val="21420662"/>
    <w:rsid w:val="2190427C"/>
    <w:rsid w:val="23137D62"/>
    <w:rsid w:val="23EF6F51"/>
    <w:rsid w:val="258855E3"/>
    <w:rsid w:val="25EE7947"/>
    <w:rsid w:val="263403FC"/>
    <w:rsid w:val="273E5672"/>
    <w:rsid w:val="288E0795"/>
    <w:rsid w:val="291D29FD"/>
    <w:rsid w:val="2B223F6D"/>
    <w:rsid w:val="2B4C79AA"/>
    <w:rsid w:val="2B6F4C9D"/>
    <w:rsid w:val="2C5E2E59"/>
    <w:rsid w:val="2DE23A3A"/>
    <w:rsid w:val="2E8E1287"/>
    <w:rsid w:val="300E3D77"/>
    <w:rsid w:val="30533016"/>
    <w:rsid w:val="30B80E03"/>
    <w:rsid w:val="3196655E"/>
    <w:rsid w:val="33255290"/>
    <w:rsid w:val="33D877D8"/>
    <w:rsid w:val="34884EFB"/>
    <w:rsid w:val="34C06933"/>
    <w:rsid w:val="35AE68A5"/>
    <w:rsid w:val="36CD16A7"/>
    <w:rsid w:val="38E64707"/>
    <w:rsid w:val="39BD0FA0"/>
    <w:rsid w:val="3A2F4127"/>
    <w:rsid w:val="3A8859B9"/>
    <w:rsid w:val="3C3E4D0D"/>
    <w:rsid w:val="3DE61665"/>
    <w:rsid w:val="3E1153AE"/>
    <w:rsid w:val="3E516972"/>
    <w:rsid w:val="3EE47779"/>
    <w:rsid w:val="40432077"/>
    <w:rsid w:val="404969DC"/>
    <w:rsid w:val="40B53B29"/>
    <w:rsid w:val="41A437D2"/>
    <w:rsid w:val="421A04AF"/>
    <w:rsid w:val="43CB6518"/>
    <w:rsid w:val="43D60DED"/>
    <w:rsid w:val="44FE14DD"/>
    <w:rsid w:val="49E56F9C"/>
    <w:rsid w:val="4A926FD7"/>
    <w:rsid w:val="4DD15688"/>
    <w:rsid w:val="4DFF62D6"/>
    <w:rsid w:val="4F070E89"/>
    <w:rsid w:val="4F374648"/>
    <w:rsid w:val="4F4451D2"/>
    <w:rsid w:val="51237888"/>
    <w:rsid w:val="51BA42A7"/>
    <w:rsid w:val="520F6E89"/>
    <w:rsid w:val="53004672"/>
    <w:rsid w:val="53203621"/>
    <w:rsid w:val="54A431FB"/>
    <w:rsid w:val="54DA00D3"/>
    <w:rsid w:val="554E0C20"/>
    <w:rsid w:val="55FF4472"/>
    <w:rsid w:val="568F07C7"/>
    <w:rsid w:val="57252998"/>
    <w:rsid w:val="59B56326"/>
    <w:rsid w:val="5A0C4685"/>
    <w:rsid w:val="5A553285"/>
    <w:rsid w:val="5AB43B01"/>
    <w:rsid w:val="5B47161C"/>
    <w:rsid w:val="5D55237F"/>
    <w:rsid w:val="5F12091C"/>
    <w:rsid w:val="5FB20796"/>
    <w:rsid w:val="5FBDFEA1"/>
    <w:rsid w:val="5FC44E2D"/>
    <w:rsid w:val="5FD626AD"/>
    <w:rsid w:val="604010EC"/>
    <w:rsid w:val="60AE0C4D"/>
    <w:rsid w:val="610E05D3"/>
    <w:rsid w:val="62215294"/>
    <w:rsid w:val="63081FD0"/>
    <w:rsid w:val="643674E7"/>
    <w:rsid w:val="647E5E83"/>
    <w:rsid w:val="658E2DE8"/>
    <w:rsid w:val="65FC618C"/>
    <w:rsid w:val="660310CC"/>
    <w:rsid w:val="66161B6A"/>
    <w:rsid w:val="666B4547"/>
    <w:rsid w:val="66984919"/>
    <w:rsid w:val="66F07E69"/>
    <w:rsid w:val="671B478E"/>
    <w:rsid w:val="676F702D"/>
    <w:rsid w:val="69BB44D0"/>
    <w:rsid w:val="6A582252"/>
    <w:rsid w:val="6AD82D16"/>
    <w:rsid w:val="6B464D38"/>
    <w:rsid w:val="6BDF3DCF"/>
    <w:rsid w:val="6C5075F1"/>
    <w:rsid w:val="6C670BB6"/>
    <w:rsid w:val="6D0A4EAA"/>
    <w:rsid w:val="6DD40FF8"/>
    <w:rsid w:val="6E8A2420"/>
    <w:rsid w:val="70F67D42"/>
    <w:rsid w:val="71565F3F"/>
    <w:rsid w:val="72502DE7"/>
    <w:rsid w:val="74114A65"/>
    <w:rsid w:val="74DC7A51"/>
    <w:rsid w:val="753554DD"/>
    <w:rsid w:val="75A24B0F"/>
    <w:rsid w:val="76AB03E2"/>
    <w:rsid w:val="76D1210E"/>
    <w:rsid w:val="77AC22DD"/>
    <w:rsid w:val="77B83789"/>
    <w:rsid w:val="783F394E"/>
    <w:rsid w:val="78691D8F"/>
    <w:rsid w:val="78F52A46"/>
    <w:rsid w:val="793C6850"/>
    <w:rsid w:val="794A19C3"/>
    <w:rsid w:val="7ABC43C8"/>
    <w:rsid w:val="7AF2645E"/>
    <w:rsid w:val="7CA67A3C"/>
    <w:rsid w:val="7CB71996"/>
    <w:rsid w:val="7DAE3E8B"/>
    <w:rsid w:val="7E6D4A02"/>
    <w:rsid w:val="7E77AE1E"/>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AEFB723-9152-4EE0-9784-EE0DF3FF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480"/>
      <w:jc w:val="both"/>
    </w:pPr>
    <w:rPr>
      <w:rFonts w:ascii="宋体" w:hAnsi="宋体"/>
      <w:kern w:val="2"/>
      <w:sz w:val="24"/>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420"/>
    </w:pPr>
  </w:style>
  <w:style w:type="paragraph" w:styleId="a4">
    <w:name w:val="Body Text"/>
    <w:basedOn w:val="a"/>
    <w:qFormat/>
    <w:pPr>
      <w:jc w:val="center"/>
    </w:pPr>
    <w:rPr>
      <w:b/>
      <w:bCs/>
      <w:sz w:val="44"/>
    </w:rPr>
  </w:style>
  <w:style w:type="paragraph" w:styleId="8">
    <w:name w:val="index 8"/>
    <w:basedOn w:val="a"/>
    <w:next w:val="a"/>
    <w:qFormat/>
    <w:pPr>
      <w:ind w:leftChars="1400" w:left="2940"/>
      <w:jc w:val="left"/>
    </w:pPr>
  </w:style>
  <w:style w:type="paragraph" w:styleId="a5">
    <w:name w:val="footer"/>
    <w:basedOn w:val="a"/>
    <w:link w:val="a6"/>
    <w:qFormat/>
    <w:pPr>
      <w:tabs>
        <w:tab w:val="center" w:pos="4153"/>
        <w:tab w:val="right" w:pos="8306"/>
      </w:tabs>
      <w:snapToGrid w:val="0"/>
      <w:spacing w:line="240" w:lineRule="auto"/>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character" w:customStyle="1" w:styleId="a8">
    <w:name w:val="页眉 字符"/>
    <w:basedOn w:val="a1"/>
    <w:link w:val="a7"/>
    <w:qFormat/>
    <w:rPr>
      <w:rFonts w:ascii="宋体" w:hAnsi="宋体"/>
      <w:kern w:val="2"/>
      <w:sz w:val="18"/>
      <w:szCs w:val="18"/>
    </w:rPr>
  </w:style>
  <w:style w:type="character" w:customStyle="1" w:styleId="a6">
    <w:name w:val="页脚 字符"/>
    <w:basedOn w:val="a1"/>
    <w:link w:val="a5"/>
    <w:qFormat/>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2021-01-19T07:13:00Z</dcterms:created>
  <dcterms:modified xsi:type="dcterms:W3CDTF">2024-08-26T02:00:00Z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85FFA0C4545242EF8A164B055DA15A00_13</vt:lpwstr>
  </property>
</Properties>
</file>